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orr-20260730.htm"/>
      <w:bookmarkStart w:id="1" w:name="ksforr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FORRESTER RESEARCH,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000-21433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04-2797789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 Acorn Park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613-6000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2656"/>
        <w:gridCol w:w="146"/>
        <w:gridCol w:w="946"/>
        <w:gridCol w:w="146"/>
        <w:gridCol w:w="382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212529"/>
          <w:sz w:val="20"/>
        </w:rPr>
      </w:pPr>
      <w:r>
        <w:rPr>
          <w:rFonts w:ascii="Times New Roman" w:hAnsi="Times New Roman"/>
          <w:color w:val="212529"/>
          <w:sz w:val="20"/>
        </w:rPr>
        <w:t>The information contained in this current report on Form 8-K is furnished pursuant to Item 2.02 of Form 8-K “Results of Operations and Financial Condition”. This information and the exhibits hereto are being furnished and shall not be deemed to be “filed” for the purposes of Section 18 of, or otherwise regarded as filed under, the Securities Exchange Act of 1934, as amended. The information contained in this report shall not be incorporated by reference into any filing of Forrester Research, Inc. with the SEC, whether made before or after the date hereof, regardless of any general incorporation language in such filings.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July 30, 2026, Forrester Research, Inc. issued a press release announcing its financial results for the quarter ended June 30, 2026.</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Forrester believes that adjusted financial results provide investors with consistent and comparable information to aid in the understanding of Forrester’s ongoing business. Forrester uses adjusted financial information to manage its business, including use of adjusted financial results as the basis for setting targets for various compensation programs. Our adjusted presentation excludes the following, as well as their related tax effects: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Amortization of intangibles—we exclude the effect of the amortization of acquisition-related intangible assets from our adjusted results in order to more consistently present our ongoing results of operations.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Gains and losses from investments—we have consistently excluded both gains and losses related to our investment in non-marketable securities from our adjusted results in order to keep quarter-over-quarter and year-over-year comparisons consistent.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Credit loss expense—we have excluded the credit loss expense on the promissory note received from the sale of a product line in 2024 from our adjusted results in order to keep quarter-over-quarter and year-over-year comparisons consistent.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Goodwill impairment—we exclude goodwill impairment charges from our adjusted results in order to keep quarter-over-quarter and year-over-year comparisons consistent.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Stock-based compensation expense—we exclude stock-based compensation from our adjusted results in order to keep quarter-over-quarter and year-over-year comparisons consistent.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Restructuring costs—we exclude costs associated with the Company’s reductions in force and asset impairment charges associated with the Company’s reductions in office space from our adjusted results in order to keep quarter-over-quarter and year-over-year comparisons consistent.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However, these measures should be considered in addition to, not as a substitute for, or superior to, operating income or other measures of financial performance prepared in accordance with generally accepted accounting principles as more fully discussed in our financial statements and filings with the Securities and Exchange Commission.</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9376"/>
      </w:tblGrid>
      <w:tr>
        <w:trPr/>
        <w:tc>
          <w:tcPr>
            <w:tcW w:w="829"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28, 2026, Neil Bradford notified the Company that he is retiring as a member of the Board of Directors, effective immediately.</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color w:val="212529"/>
          <w:sz w:val="20"/>
        </w:rPr>
        <w:t xml:space="preserve">(d) </w:t>
      </w:r>
      <w:r>
        <w:rPr>
          <w:rFonts w:ascii="Times New Roman" w:hAnsi="Times New Roman"/>
          <w:color w:val="212529"/>
          <w:sz w:val="20"/>
          <w:u w:val="single"/>
        </w:rPr>
        <w:t>Exhibits</w:t>
      </w:r>
    </w:p>
    <w:tbl>
      <w:tblPr>
        <w:tblW w:w="9428" w:type="dxa"/>
        <w:jc w:val="left"/>
        <w:tblInd w:w="0" w:type="dxa"/>
        <w:tblLayout w:type="fixed"/>
        <w:tblCellMar>
          <w:top w:w="28" w:type="dxa"/>
          <w:left w:w="28" w:type="dxa"/>
          <w:bottom w:w="28" w:type="dxa"/>
          <w:right w:w="28" w:type="dxa"/>
        </w:tblCellMar>
      </w:tblPr>
      <w:tblGrid>
        <w:gridCol w:w="881"/>
        <w:gridCol w:w="146"/>
        <w:gridCol w:w="840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hyperlink w:anchor="forr-ex99_1.htm">
              <w:r>
                <w:rPr>
                  <w:rStyle w:val="InternetLink"/>
                  <w:rFonts w:ascii="Times New Roman" w:hAnsi="Times New Roman"/>
                  <w:color w:val="0000FF"/>
                  <w:sz w:val="20"/>
                  <w:u w:val="single"/>
                </w:rPr>
                <w:t>Press Release dated July 30, 2026 with respect to financial results for the quarter ended June 30, 2026</w:t>
              </w:r>
            </w:hyperlink>
            <w:r>
              <w:rPr>
                <w:rFonts w:ascii="Times New Roman" w:hAnsi="Times New Roman"/>
                <w:color w:val="000000"/>
                <w:sz w:val="20"/>
              </w:rPr>
              <w:t>.</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04" w:type="dxa"/>
        <w:jc w:val="left"/>
        <w:tblInd w:w="0" w:type="dxa"/>
        <w:tblLayout w:type="fixed"/>
        <w:tblCellMar>
          <w:top w:w="28" w:type="dxa"/>
          <w:left w:w="28" w:type="dxa"/>
          <w:bottom w:w="28" w:type="dxa"/>
          <w:right w:w="28" w:type="dxa"/>
        </w:tblCellMar>
      </w:tblPr>
      <w:tblGrid>
        <w:gridCol w:w="556"/>
        <w:gridCol w:w="1216"/>
        <w:gridCol w:w="451"/>
        <w:gridCol w:w="348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FORRESTER RESEARCH,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 Christian Finn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L. Christian Finn,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orr-ex99_1.htm"/>
      <w:bookmarkStart w:id="3" w:name="ksforrex99_1"/>
      <w:bookmarkEnd w:id="2"/>
      <w:bookmarkEnd w:id="3"/>
      <w:r>
        <w:rPr>
          <w:rFonts w:ascii="Times New Roman" w:hAnsi="Times New Roman"/>
          <w:b/>
          <w:color w:val="000000"/>
          <w:sz w:val="20"/>
        </w:rPr>
        <w:t>Exhibit 99.1</w:t>
      </w:r>
      <w:r>
        <w:br w:type="page"/>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FOR IMMEDIATE RELEASE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Reports 2026 Second-Quarter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CAMBRIDGE, Mass., July 30, 2026</w:t>
      </w:r>
      <w:r>
        <w:rPr>
          <w:rFonts w:ascii="Times New Roman" w:hAnsi="Times New Roman"/>
          <w:color w:val="000000"/>
          <w:sz w:val="20"/>
        </w:rPr>
        <w:t xml:space="preserve"> — Forrester Research, Inc. (Nasdaq: FORR) today announced financial results for the second quarter ended June 30, 2026, with contract value at $283.2 million, down 3% compared with the prior year.</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delivered revenue, margin, and EPS above consensus, are seeing accelerated adoption of Forrester AI, and saw the ongoing stabilization of our metrics,” said CEO and Chairman George F. Colony. “As a result, we are maintaining our guidance for 2026. We have restarted our stock buyback program, and we plan to accelerate our repurchases.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are reinventing the research and advisory business for the AI era through our technology innovation and partnerships. In the second half of the year, we will follow our Microsoft Teams and Copilot integration efforts with additional new products and capabilities. We will focus on enhancing the capabilities of Forrester AI to enable our clients to access our research insights effortlessly — in their own work environments. Our goal is to improve client retention and drive CV growth.”</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Second-Quarter Consolidated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for the second quarter of 2026 were $100.2 million, compared with $111.7 million for the comparable quarter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 GAAP basis, net income was $15.3 million, or $0.78 per diluted share, for the second quarter of 2026, compared with net income of $3.9 million, or $0.20 per diluted share, for the same period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an adjusted basis, net income was $7.7 million, or $0.40 per diluted share, for the second quarter of 2026, reflecting an adjusted effective tax rate of 29%. Adjusted net income excludes stock-based compensation of $2.9 million, amortization of acquisition-related intangible assets of $2.1 million, restructuring costs of $2.1 million, and a credit loss on the note receivable from the divestiture of a product line in 2024 of $0.9 million. This compares with adjusted net income of $9.8 million, or $0.51 per diluted share, for the same period in 2025, which reflects an adjusted tax rate of 29%. Adjusted net income for the second quarter of 2025 excludes stock-based compensation of $4.0 million, amortization of acquisition-related intangible assets of $2.2 million, and restructuring costs of $0.5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details regarding key metrics can be found in the investor presentation on the investor relations section of the company’s website.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GAAP results to adjusted results may be found in the attached financial tables.</w:t>
      </w:r>
    </w:p>
    <w:p>
      <w:pPr>
        <w:pStyle w:val="TextBody"/>
        <w:bidi w:val="0"/>
        <w:jc w:val="left"/>
        <w:rPr>
          <w:rFonts w:ascii="Times New Roman" w:hAnsi="Times New Roman"/>
          <w:color w:val="000000"/>
          <w:sz w:val="20"/>
        </w:rPr>
      </w:pPr>
      <w:r>
        <w:rPr>
          <w:rFonts w:ascii="Times New Roman" w:hAnsi="Times New Roman"/>
          <w:color w:val="000000"/>
          <w:sz w:val="20"/>
        </w:rPr>
        <w:t>Forrester is providing guidance for 2026 as follows: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Full-Year 2026 (GAAP):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revenues of approximately $350.0 million to $360.0 million, or a decline of 11.8% to 9.3% versus the prior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Operating margin of approximately negative 3.5% to negative 3.0%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expense of approximately $2.3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effective tax rate of negative 20% to negative 10%</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Diluted loss per share of approximately $0.84 to $0.74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Full-Year 2026 (Adjusted):</w:t>
      </w:r>
    </w:p>
    <w:p>
      <w:pPr>
        <w:pStyle w:val="TextBody"/>
        <w:bidi w:val="0"/>
        <w:jc w:val="left"/>
        <w:rPr>
          <w:rFonts w:ascii="Times New Roman" w:hAnsi="Times New Roman"/>
          <w:color w:val="000000"/>
          <w:sz w:val="20"/>
        </w:rPr>
      </w:pPr>
      <w:r>
        <w:rPr>
          <w:rFonts w:ascii="Times New Roman" w:hAnsi="Times New Roman"/>
          <w:color w:val="000000"/>
          <w:sz w:val="20"/>
        </w:rPr>
        <w:t>Adjusted financial guidance for full-year 2026 excludes the goodwill impairment charge of $10.8 million, stock-based compensation expense of $10.0 million to $11.0 million, amortization of acquisition-related intangible assets of approximately $8.3 million, restructuring costs of $4.2 million to $4.5 million, a credit loss on the note receivable from the divestiture of a product line in 2024 of $0.9 million, and any investment gains or losses.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operating margin of approximately 6.0% to 6.5%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effective tax rate of 29%</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Adjusted diluted earnings per share of approximately $0.72 to $0.82</w:t>
      </w:r>
    </w:p>
    <w:p>
      <w:pPr>
        <w:pStyle w:val="TextBody"/>
        <w:bidi w:val="0"/>
        <w:jc w:val="left"/>
        <w:rPr>
          <w:rFonts w:ascii="Times New Roman" w:hAnsi="Times New Roman"/>
          <w:b/>
          <w:color w:val="000000"/>
          <w:sz w:val="20"/>
        </w:rPr>
      </w:pPr>
      <w:r>
        <w:rPr>
          <w:rFonts w:ascii="Times New Roman" w:hAnsi="Times New Roman"/>
          <w:b/>
          <w:color w:val="000000"/>
          <w:sz w:val="20"/>
        </w:rPr>
        <w:t>About Forrester</w:t>
      </w:r>
    </w:p>
    <w:p>
      <w:pPr>
        <w:pStyle w:val="TextBody"/>
        <w:bidi w:val="0"/>
        <w:jc w:val="left"/>
        <w:rPr>
          <w:rFonts w:ascii="Times New Roman" w:hAnsi="Times New Roman"/>
          <w:color w:val="000000"/>
          <w:sz w:val="20"/>
        </w:rPr>
      </w:pPr>
      <w:r>
        <w:rPr>
          <w:rFonts w:ascii="Times New Roman" w:hAnsi="Times New Roman"/>
          <w:color w:val="000000"/>
          <w:sz w:val="20"/>
        </w:rPr>
        <w:t>Forrester (Nasdaq: FORR) is one of the most influential research and advisory firms in the world. We empower leaders in technology, customer experience, digital, marketing, revenue, and product functions to make confident decisions in an AI-driven world and accelerate growth through customer obsession. Our unique research and continuous guidance model helps executives and their teams achieve their initiatives and outcomes faster and with confidence. To learn more, visit Forrester.com.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statements include, but are not limited to, Forrester’s financial guidance for the full-year 2026, statements about planned actions relating to AI, innovation and stock repurchases, statements about Forrester’s product portfolio, and statements regarding Forrester’s future financial performance and financial condition. These statements are based on Forrester’s current plans and expectations and involve risks and uncertainties that could cause actual future activities and results of operations to be materially different from those set forth in the forward-looking statements. Important factors that could cause actual future activities and results to differ include, among others, Forrester’s ability to retain and enrich memberships for its research products and services; Forrester’s ability to fulfill existing or generate new consulting engagements and advisory services; any adverse economic conditions, including from trade policies and tariffs, that result in a reduction in technology spending or demand for Forrester’s products or services; the risks and challenges inherent in international business activities; the use of generative AI in Forrester’s business and by Forrester’s clients and competitors; Forrester’s ability to offer new products and services; Forrester’s dependence on key personnel; Forrester’s ability to attract and retain professional staff; Forrester’s ability to respond to business and economic conditions and market trends; Forrester’s business with the US government; the impact of Forrester’s outstanding debt obligations; competition and industry consolidation; possible variations in Forrester’s quarterly operating results; the actual cost of capital expenditures that Forrester undertakes; concentration of ownership of Forrester; the possibility of network disruptions and security breaches; any failure to enforce and protect Forrester’s intellectual property rights; compliance with privacy laws; taxation risks; any weakness in Forrester’s system of internal controls; and any future impairment charge Forrester incurs. Forrester undertakes no obligation to update publicly any forward-looking statements, whether as a result of new information, future events, or otherwise. For further information, please refer to Forrester’s reports and filings with the Securities and Exchange Commission.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statements of operations and the table of key financial data are attached.</w:t>
      </w:r>
    </w:p>
    <w:p>
      <w:pPr>
        <w:pStyle w:val="TextBody"/>
        <w:bidi w:val="0"/>
        <w:jc w:val="left"/>
        <w:rPr>
          <w:rFonts w:ascii="Times New Roman" w:hAnsi="Times New Roman"/>
          <w:b/>
          <w:color w:val="000000"/>
          <w:sz w:val="20"/>
        </w:rPr>
      </w:pPr>
      <w:r>
        <w:rPr>
          <w:rFonts w:ascii="Times New Roman" w:hAnsi="Times New Roman"/>
          <w:b/>
          <w:color w:val="000000"/>
          <w:sz w:val="20"/>
        </w:rPr>
        <w:t>Contact:</w:t>
      </w:r>
    </w:p>
    <w:p>
      <w:pPr>
        <w:pStyle w:val="TextBody"/>
        <w:bidi w:val="0"/>
        <w:jc w:val="left"/>
        <w:rPr>
          <w:rFonts w:ascii="Times New Roman" w:hAnsi="Times New Roman"/>
          <w:color w:val="000000"/>
          <w:sz w:val="20"/>
        </w:rPr>
      </w:pPr>
      <w:r>
        <w:rPr>
          <w:rFonts w:ascii="Times New Roman" w:hAnsi="Times New Roman"/>
          <w:color w:val="000000"/>
          <w:sz w:val="20"/>
        </w:rPr>
        <w:t>Ed Bryce Morris</w:t>
      </w:r>
    </w:p>
    <w:p>
      <w:pPr>
        <w:pStyle w:val="TextBody"/>
        <w:bidi w:val="0"/>
        <w:jc w:val="left"/>
        <w:rPr>
          <w:rFonts w:ascii="Times New Roman" w:hAnsi="Times New Roman"/>
          <w:color w:val="000000"/>
          <w:sz w:val="20"/>
        </w:rPr>
      </w:pPr>
      <w:r>
        <w:rPr>
          <w:rFonts w:ascii="Times New Roman" w:hAnsi="Times New Roman"/>
          <w:color w:val="000000"/>
          <w:sz w:val="20"/>
        </w:rPr>
        <w:t>VP, Corporate Development &amp; Investor Relations</w:t>
      </w:r>
    </w:p>
    <w:p>
      <w:pPr>
        <w:pStyle w:val="TextBody"/>
        <w:bidi w:val="0"/>
        <w:jc w:val="left"/>
        <w:rPr>
          <w:rFonts w:ascii="Times New Roman" w:hAnsi="Times New Roman"/>
          <w:color w:val="000000"/>
          <w:sz w:val="20"/>
        </w:rPr>
      </w:pPr>
      <w:r>
        <w:rPr>
          <w:rFonts w:ascii="Times New Roman" w:hAnsi="Times New Roman"/>
          <w:color w:val="000000"/>
          <w:sz w:val="20"/>
        </w:rPr>
        <w:t>Forrester Research, Inc.</w:t>
      </w:r>
    </w:p>
    <w:p>
      <w:pPr>
        <w:pStyle w:val="TextBody"/>
        <w:bidi w:val="0"/>
        <w:jc w:val="left"/>
        <w:rPr>
          <w:rFonts w:ascii="Times New Roman" w:hAnsi="Times New Roman"/>
          <w:color w:val="000000"/>
          <w:sz w:val="20"/>
        </w:rPr>
      </w:pPr>
      <w:r>
        <w:rPr>
          <w:rFonts w:ascii="Times New Roman" w:hAnsi="Times New Roman"/>
          <w:color w:val="000000"/>
          <w:sz w:val="20"/>
        </w:rPr>
        <w:t>+1 617-613-6565</w:t>
      </w:r>
    </w:p>
    <w:p>
      <w:pPr>
        <w:pStyle w:val="TextBody"/>
        <w:bidi w:val="0"/>
        <w:jc w:val="left"/>
        <w:rPr>
          <w:rFonts w:ascii="Times New Roman" w:hAnsi="Times New Roman"/>
          <w:color w:val="000000"/>
          <w:sz w:val="20"/>
        </w:rPr>
      </w:pPr>
      <w:r>
        <w:rPr>
          <w:rFonts w:ascii="Times New Roman" w:hAnsi="Times New Roman"/>
          <w:color w:val="000000"/>
          <w:sz w:val="20"/>
        </w:rPr>
        <w:t>ebrycemorris@forrester.com</w:t>
      </w:r>
    </w:p>
    <w:p>
      <w:pPr>
        <w:pStyle w:val="TextBody"/>
        <w:bidi w:val="0"/>
        <w:jc w:val="left"/>
        <w:rPr>
          <w:rFonts w:ascii="Times New Roman" w:hAnsi="Times New Roman"/>
          <w:color w:val="000000"/>
          <w:sz w:val="20"/>
        </w:rPr>
      </w:pPr>
      <w:r>
        <w:rPr>
          <w:rFonts w:ascii="Times New Roman" w:hAnsi="Times New Roman"/>
          <w:color w:val="000000"/>
          <w:sz w:val="20"/>
        </w:rPr>
        <w:t>Shweta Agarwal</w:t>
      </w:r>
    </w:p>
    <w:p>
      <w:pPr>
        <w:pStyle w:val="TextBody"/>
        <w:bidi w:val="0"/>
        <w:jc w:val="left"/>
        <w:rPr>
          <w:rFonts w:ascii="Times New Roman" w:hAnsi="Times New Roman"/>
          <w:color w:val="000000"/>
          <w:sz w:val="20"/>
        </w:rPr>
      </w:pPr>
      <w:r>
        <w:rPr>
          <w:rFonts w:ascii="Times New Roman" w:hAnsi="Times New Roman"/>
          <w:color w:val="000000"/>
          <w:sz w:val="20"/>
        </w:rPr>
        <w:t>VP, Corporate Communications</w:t>
      </w:r>
    </w:p>
    <w:p>
      <w:pPr>
        <w:pStyle w:val="TextBody"/>
        <w:bidi w:val="0"/>
        <w:jc w:val="left"/>
        <w:rPr>
          <w:rFonts w:ascii="Times New Roman" w:hAnsi="Times New Roman"/>
          <w:color w:val="000000"/>
          <w:sz w:val="20"/>
        </w:rPr>
      </w:pPr>
      <w:r>
        <w:rPr>
          <w:rFonts w:ascii="Times New Roman" w:hAnsi="Times New Roman"/>
          <w:color w:val="000000"/>
          <w:sz w:val="20"/>
        </w:rPr>
        <w:t>Forrester Research, Inc.</w:t>
      </w:r>
    </w:p>
    <w:p>
      <w:pPr>
        <w:pStyle w:val="TextBody"/>
        <w:bidi w:val="0"/>
        <w:jc w:val="left"/>
        <w:rPr>
          <w:rFonts w:ascii="Times New Roman" w:hAnsi="Times New Roman"/>
          <w:color w:val="000000"/>
          <w:sz w:val="20"/>
        </w:rPr>
      </w:pPr>
      <w:r>
        <w:rPr>
          <w:rFonts w:ascii="Times New Roman" w:hAnsi="Times New Roman"/>
          <w:color w:val="000000"/>
          <w:sz w:val="20"/>
        </w:rPr>
        <w:t>+1 617-613-6805</w:t>
      </w:r>
    </w:p>
    <w:p>
      <w:pPr>
        <w:pStyle w:val="TextBody"/>
        <w:bidi w:val="0"/>
        <w:jc w:val="left"/>
        <w:rPr>
          <w:rFonts w:ascii="Times New Roman" w:hAnsi="Times New Roman"/>
          <w:color w:val="000000"/>
          <w:sz w:val="20"/>
        </w:rPr>
      </w:pPr>
      <w:r>
        <w:rPr>
          <w:rFonts w:ascii="Times New Roman" w:hAnsi="Times New Roman"/>
          <w:color w:val="000000"/>
          <w:sz w:val="20"/>
        </w:rPr>
        <w:t>sagarwal@forrester.com</w:t>
      </w:r>
    </w:p>
    <w:p>
      <w:pPr>
        <w:pStyle w:val="TextBody"/>
        <w:bidi w:val="0"/>
        <w:jc w:val="left"/>
        <w:rPr>
          <w:rFonts w:ascii="Times New Roman" w:hAnsi="Times New Roman"/>
          <w:color w:val="000000"/>
          <w:sz w:val="20"/>
        </w:rPr>
      </w:pPr>
      <w:r>
        <w:rPr>
          <w:rFonts w:ascii="Times New Roman" w:hAnsi="Times New Roman"/>
          <w:color w:val="000000"/>
          <w:sz w:val="20"/>
        </w:rPr>
        <w:t>© 2026, Forrester Research, Inc. All rights reserved. Forrester is a trademark of Forrester Research, Inc.</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Forrester Research, Inc.</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left"/>
        <w:rPr>
          <w:rFonts w:ascii="Times New Roman" w:hAnsi="Times New Roman"/>
          <w:color w:val="000000"/>
          <w:sz w:val="20"/>
        </w:rPr>
      </w:pPr>
      <w:r>
        <w:rPr>
          <w:rFonts w:ascii="Times New Roman" w:hAnsi="Times New Roman"/>
          <w:color w:val="000000"/>
          <w:sz w:val="20"/>
        </w:rPr>
        <w:t>(Unaudited, in thousands, except per share data)</w:t>
      </w:r>
    </w:p>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3771"/>
        <w:gridCol w:w="146"/>
        <w:gridCol w:w="211"/>
        <w:gridCol w:w="781"/>
        <w:gridCol w:w="166"/>
        <w:gridCol w:w="146"/>
        <w:gridCol w:w="211"/>
        <w:gridCol w:w="781"/>
        <w:gridCol w:w="166"/>
        <w:gridCol w:w="146"/>
        <w:gridCol w:w="211"/>
        <w:gridCol w:w="781"/>
        <w:gridCol w:w="166"/>
        <w:gridCol w:w="146"/>
        <w:gridCol w:w="211"/>
        <w:gridCol w:w="781"/>
        <w:gridCol w:w="591"/>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 on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data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Income (loss) from operations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included in the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following expense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services and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818" w:type="dxa"/>
        <w:jc w:val="left"/>
        <w:tblInd w:w="0" w:type="dxa"/>
        <w:tblLayout w:type="fixed"/>
        <w:tblCellMar>
          <w:top w:w="28" w:type="dxa"/>
          <w:left w:w="28" w:type="dxa"/>
          <w:bottom w:w="28" w:type="dxa"/>
          <w:right w:w="28" w:type="dxa"/>
        </w:tblCellMar>
      </w:tblPr>
      <w:tblGrid>
        <w:gridCol w:w="1461"/>
        <w:gridCol w:w="146"/>
        <w:gridCol w:w="211"/>
        <w:gridCol w:w="736"/>
        <w:gridCol w:w="166"/>
        <w:gridCol w:w="146"/>
        <w:gridCol w:w="211"/>
        <w:gridCol w:w="526"/>
        <w:gridCol w:w="166"/>
        <w:gridCol w:w="146"/>
        <w:gridCol w:w="211"/>
        <w:gridCol w:w="676"/>
        <w:gridCol w:w="166"/>
        <w:gridCol w:w="146"/>
        <w:gridCol w:w="211"/>
        <w:gridCol w:w="526"/>
        <w:gridCol w:w="166"/>
        <w:gridCol w:w="146"/>
        <w:gridCol w:w="211"/>
        <w:gridCol w:w="676"/>
        <w:gridCol w:w="166"/>
        <w:gridCol w:w="146"/>
        <w:gridCol w:w="211"/>
        <w:gridCol w:w="526"/>
        <w:gridCol w:w="166"/>
        <w:gridCol w:w="146"/>
        <w:gridCol w:w="211"/>
        <w:gridCol w:w="736"/>
        <w:gridCol w:w="166"/>
        <w:gridCol w:w="146"/>
        <w:gridCol w:w="211"/>
        <w:gridCol w:w="526"/>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on GAAP net loss of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effects of items above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tax expense for adjusted tax rate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Forrester believes that adjusted financial results provide investors with consistent and comparable information to aid in the understanding of Forrester's ongoing business, and are also used by Forrester in making compensation decisions. Our adjusted presentation excludes amortization of acquisition-related intangible assets, stock-based compensation, restructuring costs, goodwill impairment charges, credit losses on a promissory note from the sale of a product line in 2024, and net gains or losses from investments, as well as their related tax effects. We also utilized an assumed tax rate of 29% in 2026 and 2025, which excludes items such as the effect of any adjustments related to the filing of prior year tax returns. The adjusted data does not purport to be prepared in accordance with Generally Accepted Accounting Principles in the United States.</w:t>
      </w:r>
    </w:p>
    <w:p>
      <w:pPr>
        <w:pStyle w:val="TextBody"/>
        <w:bidi w:val="0"/>
        <w:jc w:val="left"/>
        <w:rPr>
          <w:rFonts w:ascii="Times New Roman" w:hAnsi="Times New Roman"/>
          <w:color w:val="000000"/>
          <w:sz w:val="20"/>
        </w:rPr>
      </w:pPr>
      <w:r>
        <w:rPr>
          <w:rFonts w:ascii="Times New Roman" w:hAnsi="Times New Roman"/>
          <w:color w:val="000000"/>
          <w:sz w:val="20"/>
        </w:rPr>
        <w:t>(2) The tax effect of adjusting items is based on the accounting treatment and rate for the jurisdiction of each item.</w:t>
      </w:r>
    </w:p>
    <w:p>
      <w:pPr>
        <w:pStyle w:val="TextBody"/>
        <w:bidi w:val="0"/>
        <w:jc w:val="left"/>
        <w:rPr>
          <w:rFonts w:ascii="Times New Roman" w:hAnsi="Times New Roman"/>
          <w:color w:val="000000"/>
          <w:sz w:val="20"/>
        </w:rPr>
      </w:pPr>
      <w:r>
        <w:rPr>
          <w:rFonts w:ascii="Times New Roman" w:hAnsi="Times New Roman"/>
          <w:color w:val="000000"/>
          <w:sz w:val="20"/>
        </w:rPr>
        <w:t>(3) To compute adjusted net income, we apply an adjusted effective tax rate of 29% in 2026 and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Forrester Research, Inc.</w:t>
      </w:r>
    </w:p>
    <w:p>
      <w:pPr>
        <w:pStyle w:val="TextBody"/>
        <w:bidi w:val="0"/>
        <w:jc w:val="left"/>
        <w:rPr>
          <w:rFonts w:ascii="Times New Roman" w:hAnsi="Times New Roman"/>
          <w:b/>
          <w:color w:val="000000"/>
          <w:sz w:val="20"/>
        </w:rPr>
      </w:pPr>
      <w:r>
        <w:rPr>
          <w:rFonts w:ascii="Times New Roman" w:hAnsi="Times New Roman"/>
          <w:b/>
          <w:color w:val="000000"/>
          <w:sz w:val="20"/>
        </w:rPr>
        <w:t>Key Financial Data</w:t>
      </w:r>
    </w:p>
    <w:p>
      <w:pPr>
        <w:pStyle w:val="TextBody"/>
        <w:bidi w:val="0"/>
        <w:jc w:val="left"/>
        <w:rPr>
          <w:rFonts w:ascii="Times New Roman" w:hAnsi="Times New Roman"/>
          <w:color w:val="000000"/>
          <w:sz w:val="20"/>
        </w:rPr>
      </w:pPr>
      <w:r>
        <w:rPr>
          <w:rFonts w:ascii="Times New Roman" w:hAnsi="Times New Roman"/>
          <w:color w:val="000000"/>
          <w:sz w:val="20"/>
        </w:rPr>
        <w:t>(Unaudited, dollars in thousands)</w:t>
      </w:r>
    </w:p>
    <w:p>
      <w:pPr>
        <w:pStyle w:val="TextBody"/>
        <w:bidi w:val="0"/>
        <w:jc w:val="left"/>
        <w:rPr/>
      </w:pPr>
      <w:r>
        <w:rPr/>
        <w:t> </w:t>
      </w:r>
    </w:p>
    <w:tbl>
      <w:tblPr>
        <w:tblW w:w="7392" w:type="dxa"/>
        <w:jc w:val="left"/>
        <w:tblInd w:w="0" w:type="dxa"/>
        <w:tblLayout w:type="fixed"/>
        <w:tblCellMar>
          <w:top w:w="28" w:type="dxa"/>
          <w:left w:w="28" w:type="dxa"/>
          <w:bottom w:w="28" w:type="dxa"/>
          <w:right w:w="28" w:type="dxa"/>
        </w:tblCellMar>
      </w:tblPr>
      <w:tblGrid>
        <w:gridCol w:w="4476"/>
        <w:gridCol w:w="146"/>
        <w:gridCol w:w="211"/>
        <w:gridCol w:w="781"/>
        <w:gridCol w:w="146"/>
        <w:gridCol w:w="146"/>
        <w:gridCol w:w="233"/>
        <w:gridCol w:w="862"/>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marketable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369" w:type="dxa"/>
        <w:jc w:val="left"/>
        <w:tblInd w:w="0" w:type="dxa"/>
        <w:tblLayout w:type="fixed"/>
        <w:tblCellMar>
          <w:top w:w="28" w:type="dxa"/>
          <w:left w:w="28" w:type="dxa"/>
          <w:bottom w:w="28" w:type="dxa"/>
          <w:right w:w="28" w:type="dxa"/>
        </w:tblCellMar>
      </w:tblPr>
      <w:tblGrid>
        <w:gridCol w:w="3666"/>
        <w:gridCol w:w="146"/>
        <w:gridCol w:w="211"/>
        <w:gridCol w:w="736"/>
        <w:gridCol w:w="166"/>
        <w:gridCol w:w="146"/>
        <w:gridCol w:w="211"/>
        <w:gridCol w:w="676"/>
        <w:gridCol w:w="41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140" w:type="dxa"/>
        <w:jc w:val="left"/>
        <w:tblInd w:w="0" w:type="dxa"/>
        <w:tblLayout w:type="fixed"/>
        <w:tblCellMar>
          <w:top w:w="28" w:type="dxa"/>
          <w:left w:w="28" w:type="dxa"/>
          <w:bottom w:w="28" w:type="dxa"/>
          <w:right w:w="28" w:type="dxa"/>
        </w:tblCellMar>
      </w:tblPr>
      <w:tblGrid>
        <w:gridCol w:w="1761"/>
        <w:gridCol w:w="146"/>
        <w:gridCol w:w="211"/>
        <w:gridCol w:w="781"/>
        <w:gridCol w:w="271"/>
        <w:gridCol w:w="146"/>
        <w:gridCol w:w="211"/>
        <w:gridCol w:w="781"/>
        <w:gridCol w:w="271"/>
        <w:gridCol w:w="561"/>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Client retention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Wallet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Number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3919" w:type="dxa"/>
        <w:jc w:val="left"/>
        <w:tblInd w:w="0" w:type="dxa"/>
        <w:tblLayout w:type="fixed"/>
        <w:tblCellMar>
          <w:top w:w="28" w:type="dxa"/>
          <w:left w:w="28" w:type="dxa"/>
          <w:bottom w:w="28" w:type="dxa"/>
          <w:right w:w="28" w:type="dxa"/>
        </w:tblCellMar>
      </w:tblPr>
      <w:tblGrid>
        <w:gridCol w:w="1656"/>
        <w:gridCol w:w="146"/>
        <w:gridCol w:w="146"/>
        <w:gridCol w:w="571"/>
        <w:gridCol w:w="146"/>
        <w:gridCol w:w="146"/>
        <w:gridCol w:w="146"/>
        <w:gridCol w:w="571"/>
        <w:gridCol w:w="391"/>
      </w:tblGrid>
      <w:tr>
        <w:trPr/>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Headcount: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headcount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force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June 30, 2025 amounts have been recast based on 2026 foreign currency rates.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2693</Words>
  <Characters>15061</Characters>
  <CharactersWithSpaces>18140</CharactersWithSpaces>
  <Paragraphs>1510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