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8" w:lineRule="exact"/>
        <w:rPr>
          <w:sz w:val="24"/>
          <w:szCs w:val="24"/>
          <w:color w:val="auto"/>
        </w:rPr>
      </w:pPr>
    </w:p>
    <w:p>
      <w:pPr>
        <w:ind w:left="500" w:right="160" w:hanging="492"/>
        <w:spacing w:after="0" w:line="262" w:lineRule="auto"/>
        <w:tabs>
          <w:tab w:leader="none" w:pos="5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00" w:right="180" w:hanging="492"/>
        <w:spacing w:after="0" w:line="262" w:lineRule="auto"/>
        <w:tabs>
          <w:tab w:leader="none" w:pos="5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000-21433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FORRESTER RESEARCH,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2" w:lineRule="exact"/>
        <w:rPr>
          <w:sz w:val="24"/>
          <w:szCs w:val="24"/>
          <w:color w:val="auto"/>
        </w:rPr>
      </w:pPr>
    </w:p>
    <w:tbl>
      <w:tblPr>
        <w:tblLayout w:type="fixed"/>
        <w:tblInd w:w="1420" w:type="dxa"/>
        <w:tblCellMar>
          <w:top w:w="0" w:type="dxa"/>
          <w:left w:w="0" w:type="dxa"/>
          <w:bottom w:w="0" w:type="dxa"/>
          <w:right w:w="0" w:type="dxa"/>
        </w:tblCellMar>
      </w:tblPr>
      <w:tr>
        <w:trPr>
          <w:trHeight w:val="205"/>
        </w:trPr>
        <w:tc>
          <w:tcPr>
            <w:tcW w:w="3080" w:type="dxa"/>
            <w:vAlign w:val="bottom"/>
          </w:tcPr>
          <w:p>
            <w:pPr>
              <w:jc w:val="center"/>
              <w:ind w:right="179"/>
              <w:spacing w:after="0" w:line="205" w:lineRule="exact"/>
              <w:rPr>
                <w:sz w:val="20"/>
                <w:szCs w:val="20"/>
                <w:color w:val="auto"/>
              </w:rPr>
            </w:pPr>
            <w:r>
              <w:rPr>
                <w:rFonts w:ascii="Times New Roman" w:cs="Times New Roman" w:eastAsia="Times New Roman" w:hAnsi="Times New Roman"/>
                <w:sz w:val="18"/>
                <w:szCs w:val="18"/>
                <w:b w:val="1"/>
                <w:bCs w:val="1"/>
                <w:color w:val="auto"/>
                <w:w w:val="99"/>
              </w:rPr>
              <w:t>DELAWARE</w:t>
            </w:r>
          </w:p>
        </w:tc>
        <w:tc>
          <w:tcPr>
            <w:tcW w:w="224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700" w:type="dxa"/>
            <w:vAlign w:val="bottom"/>
          </w:tcPr>
          <w:p>
            <w:pPr>
              <w:jc w:val="right"/>
              <w:ind w:right="201"/>
              <w:spacing w:after="0" w:line="205" w:lineRule="exact"/>
              <w:rPr>
                <w:sz w:val="20"/>
                <w:szCs w:val="20"/>
                <w:color w:val="auto"/>
              </w:rPr>
            </w:pPr>
            <w:r>
              <w:rPr>
                <w:rFonts w:ascii="Times New Roman" w:cs="Times New Roman" w:eastAsia="Times New Roman" w:hAnsi="Times New Roman"/>
                <w:sz w:val="18"/>
                <w:szCs w:val="18"/>
                <w:b w:val="1"/>
                <w:bCs w:val="1"/>
                <w:color w:val="auto"/>
              </w:rPr>
              <w:t>04-2797789</w:t>
            </w:r>
          </w:p>
        </w:tc>
      </w:tr>
      <w:tr>
        <w:trPr>
          <w:trHeight w:val="149"/>
        </w:trPr>
        <w:tc>
          <w:tcPr>
            <w:tcW w:w="6120" w:type="dxa"/>
            <w:vAlign w:val="bottom"/>
            <w:gridSpan w:val="3"/>
          </w:tcPr>
          <w:p>
            <w:pPr>
              <w:jc w:val="center"/>
              <w:ind w:right="32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00" w:type="dxa"/>
            <w:vAlign w:val="bottom"/>
          </w:tcPr>
          <w:p>
            <w:pPr>
              <w:jc w:val="center"/>
              <w:ind w:left="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20" w:type="dxa"/>
            <w:vAlign w:val="bottom"/>
            <w:gridSpan w:val="3"/>
          </w:tcPr>
          <w:p>
            <w:pPr>
              <w:jc w:val="center"/>
              <w:ind w:right="32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0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15"/>
        </w:trPr>
        <w:tc>
          <w:tcPr>
            <w:tcW w:w="6120" w:type="dxa"/>
            <w:vAlign w:val="bottom"/>
            <w:gridSpan w:val="3"/>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9"/>
              </w:rPr>
              <w:t>60 Acorn Park Drive</w:t>
            </w:r>
          </w:p>
        </w:tc>
        <w:tc>
          <w:tcPr>
            <w:tcW w:w="1700" w:type="dxa"/>
            <w:vAlign w:val="bottom"/>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02140</w:t>
            </w:r>
          </w:p>
        </w:tc>
      </w:tr>
      <w:tr>
        <w:trPr>
          <w:trHeight w:val="216"/>
        </w:trPr>
        <w:tc>
          <w:tcPr>
            <w:tcW w:w="6120" w:type="dxa"/>
            <w:vAlign w:val="bottom"/>
            <w:gridSpan w:val="3"/>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170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6120" w:type="dxa"/>
            <w:vAlign w:val="bottom"/>
            <w:gridSpan w:val="3"/>
          </w:tcPr>
          <w:p>
            <w:pPr>
              <w:jc w:val="center"/>
              <w:ind w:right="33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00" w:type="dxa"/>
            <w:vAlign w:val="bottom"/>
          </w:tcPr>
          <w:p>
            <w:pPr>
              <w:spacing w:after="0"/>
              <w:rPr>
                <w:sz w:val="16"/>
                <w:szCs w:val="16"/>
                <w:color w:val="auto"/>
              </w:rPr>
            </w:pPr>
          </w:p>
        </w:tc>
      </w:tr>
      <w:tr>
        <w:trPr>
          <w:trHeight w:val="296"/>
        </w:trPr>
        <w:tc>
          <w:tcPr>
            <w:tcW w:w="5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(617) 613-6000</w:t>
            </w:r>
          </w:p>
        </w:tc>
        <w:tc>
          <w:tcPr>
            <w:tcW w:w="8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0"/>
        </w:trPr>
        <w:tc>
          <w:tcPr>
            <w:tcW w:w="6120" w:type="dxa"/>
            <w:vAlign w:val="bottom"/>
            <w:gridSpan w:val="3"/>
          </w:tcPr>
          <w:p>
            <w:pPr>
              <w:jc w:val="center"/>
              <w:ind w:left="21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120" w:type="dxa"/>
            <w:vAlign w:val="bottom"/>
          </w:tcPr>
          <w:p>
            <w:pPr>
              <w:spacing w:after="0"/>
              <w:rPr>
                <w:sz w:val="13"/>
                <w:szCs w:val="13"/>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20" w:type="dxa"/>
            <w:vAlign w:val="bottom"/>
          </w:tcPr>
          <w:p>
            <w:pPr>
              <w:spacing w:after="0"/>
              <w:rPr>
                <w:sz w:val="13"/>
                <w:szCs w:val="13"/>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206"/>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$.01 Par Value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FORR</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80"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00"/>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4"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6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66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2, 2026, 18,148,000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8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480" w:type="dxa"/>
            <w:vAlign w:val="bottom"/>
            <w:gridSpan w:val="2"/>
            <w:vMerge w:val="continue"/>
          </w:tcPr>
          <w:p>
            <w:pPr>
              <w:spacing w:after="0"/>
              <w:rPr>
                <w:sz w:val="16"/>
                <w:szCs w:val="16"/>
                <w:color w:val="auto"/>
              </w:rPr>
            </w:pPr>
          </w:p>
        </w:tc>
        <w:tc>
          <w:tcPr>
            <w:tcW w:w="9280" w:type="dxa"/>
            <w:vAlign w:val="bottom"/>
            <w:gridSpan w:val="14"/>
            <w:vMerge w:val="continue"/>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4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September 30, 2026 and December 31, 2025</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three and nine months ended September 30, 2026 and 2025</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Loss for the three and nine months ended September 30, 2026 and 2025</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nine months ended September 30, 2026 and 2025</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60" w:type="dxa"/>
            <w:vAlign w:val="bottom"/>
            <w:tcBorders>
              <w:left w:val="single" w:sz="8" w:color="0000FF"/>
            </w:tcBorders>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4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432"/>
        </w:trPr>
        <w:tc>
          <w:tcPr>
            <w:tcW w:w="112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ind w:left="35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54,092</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63,335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investments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64,321</w:t>
            </w:r>
          </w:p>
        </w:tc>
        <w:tc>
          <w:tcPr>
            <w:tcW w:w="100" w:type="dxa"/>
            <w:vAlign w:val="bottom"/>
          </w:tcPr>
          <w:p>
            <w:pPr>
              <w:spacing w:after="0"/>
              <w:rPr>
                <w:sz w:val="18"/>
                <w:szCs w:val="18"/>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expected credit losses of $439 and $360 as</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of September 30, 2026 and December 31, 2025, respectively</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50,850</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commissions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22,060</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212,685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108,944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120,381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374,629</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404,034</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ind w:left="18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141,812</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179,171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240,062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00" w:type="dxa"/>
            <w:vAlign w:val="bottom"/>
          </w:tcPr>
          <w:p>
            <w:pPr>
              <w:spacing w:after="0"/>
              <w:rPr>
                <w:sz w:val="18"/>
                <w:szCs w:val="18"/>
                <w:color w:val="auto"/>
              </w:rPr>
            </w:pPr>
          </w:p>
        </w:tc>
      </w:tr>
      <w:tr>
        <w:trPr>
          <w:trHeight w:val="209"/>
        </w:trPr>
        <w:tc>
          <w:tcPr>
            <w:tcW w:w="77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265,475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Authorized - 500 shares; issued and outstanding - none</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Authorized - 125,000 shares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Issued - 26,094 and 25,535 shares as of September 30, 2026 and December 31, 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740" w:type="dxa"/>
            <w:vAlign w:val="bottom"/>
            <w:shd w:val="clear" w:color="auto" w:fill="CFF0FC"/>
          </w:tcPr>
          <w:p>
            <w:pPr>
              <w:ind w:left="300"/>
              <w:spacing w:after="0" w:line="198" w:lineRule="exact"/>
              <w:rPr>
                <w:sz w:val="20"/>
                <w:szCs w:val="20"/>
                <w:color w:val="auto"/>
              </w:rPr>
            </w:pPr>
            <w:r>
              <w:rPr>
                <w:rFonts w:ascii="Times New Roman" w:cs="Times New Roman" w:eastAsia="Times New Roman" w:hAnsi="Times New Roman"/>
                <w:sz w:val="18"/>
                <w:szCs w:val="18"/>
                <w:color w:val="auto"/>
              </w:rPr>
              <w:t>Outstanding - 18,506 and 19,013 shares as of September 30, 2026 and</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304,404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- 7,588 and 6,522 shares as of September 30, 2026 and December 31, 2025, respectively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(241,098)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(229,615)</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(3,382)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(1,093)</w:t>
            </w:r>
          </w:p>
        </w:tc>
      </w:tr>
      <w:tr>
        <w:trPr>
          <w:trHeight w:val="209"/>
        </w:trPr>
        <w:tc>
          <w:tcPr>
            <w:tcW w:w="77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109,154</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126,525</w:t>
            </w:r>
          </w:p>
        </w:tc>
        <w:tc>
          <w:tcPr>
            <w:tcW w:w="100" w:type="dxa"/>
            <w:vAlign w:val="bottom"/>
            <w:tcBorders>
              <w:top w:val="single" w:sz="8" w:color="CFF0FC"/>
            </w:tcBorders>
          </w:tcPr>
          <w:p>
            <w:pPr>
              <w:spacing w:after="0"/>
              <w:rPr>
                <w:sz w:val="18"/>
                <w:szCs w:val="18"/>
                <w:color w:val="auto"/>
              </w:rPr>
            </w:pPr>
          </w:p>
        </w:tc>
      </w:tr>
      <w:tr>
        <w:trPr>
          <w:trHeight w:val="230"/>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374,629</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404,034</w:t>
            </w:r>
          </w:p>
        </w:tc>
        <w:tc>
          <w:tcPr>
            <w:tcW w:w="100" w:type="dxa"/>
            <w:vAlign w:val="bottom"/>
            <w:shd w:val="clear" w:color="auto" w:fill="CFF0FC"/>
          </w:tcPr>
          <w:p>
            <w:pPr>
              <w:spacing w:after="0"/>
              <w:rPr>
                <w:sz w:val="19"/>
                <w:szCs w:val="19"/>
                <w:color w:val="auto"/>
              </w:rPr>
            </w:pP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9520" w:type="dxa"/>
            <w:vAlign w:val="bottom"/>
            <w:gridSpan w:val="5"/>
          </w:tcPr>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4"/>
        </w:trPr>
        <w:tc>
          <w:tcPr>
            <w:tcW w:w="77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-5708650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-5708650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-4876800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-3179445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-1250950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-959485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-942340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70,138</w:t>
            </w:r>
          </w:p>
        </w:tc>
        <w:tc>
          <w:tcPr>
            <w:tcW w:w="26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72,652</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208,736</w:t>
            </w:r>
          </w:p>
        </w:tc>
        <w:tc>
          <w:tcPr>
            <w:tcW w:w="24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218,992</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Consulting</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53,368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66,404</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Events</w:t>
            </w:r>
          </w:p>
        </w:tc>
        <w:tc>
          <w:tcPr>
            <w:tcW w:w="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tcPr>
          <w:p>
            <w:pPr>
              <w:spacing w:after="0"/>
              <w:rPr>
                <w:sz w:val="18"/>
                <w:szCs w:val="18"/>
                <w:color w:val="auto"/>
              </w:rPr>
            </w:pPr>
          </w:p>
        </w:tc>
      </w:tr>
      <w:tr>
        <w:trPr>
          <w:trHeight w:val="209"/>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86,107</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94,295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271,794</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services and fulfillment</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116,836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126,966</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109,031</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12,498</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38,907</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83,895</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costs (credits)</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(538)</w:t>
            </w:r>
          </w:p>
        </w:tc>
        <w:tc>
          <w:tcPr>
            <w:tcW w:w="3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FF0FC"/>
          </w:tcPr>
          <w:p>
            <w:pPr>
              <w:spacing w:after="0"/>
              <w:rPr>
                <w:sz w:val="18"/>
                <w:szCs w:val="18"/>
                <w:color w:val="auto"/>
              </w:rPr>
            </w:pPr>
          </w:p>
        </w:tc>
      </w:tr>
      <w:tr>
        <w:trPr>
          <w:trHeight w:val="209"/>
        </w:trPr>
        <w:tc>
          <w:tcPr>
            <w:tcW w:w="48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83,726</w:t>
            </w: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89,838</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284,645</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372,008</w:t>
            </w:r>
          </w:p>
        </w:tc>
        <w:tc>
          <w:tcPr>
            <w:tcW w:w="100" w:type="dxa"/>
            <w:vAlign w:val="bottom"/>
            <w:tcBorders>
              <w:top w:val="single" w:sz="8" w:color="CFF0FC"/>
            </w:tcBorders>
          </w:tcPr>
          <w:p>
            <w:pPr>
              <w:spacing w:after="0"/>
              <w:rPr>
                <w:sz w:val="18"/>
                <w:szCs w:val="18"/>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(12,851)</w:t>
            </w: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(76,178)</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(511)</w:t>
            </w:r>
          </w:p>
        </w:tc>
        <w:tc>
          <w:tcPr>
            <w:tcW w:w="3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(1,701)</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(2,026)</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investments, net</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Credit loss expense on note receivable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(900)</w:t>
            </w: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(7,310)</w:t>
            </w:r>
          </w:p>
        </w:tc>
      </w:tr>
      <w:tr>
        <w:trPr>
          <w:trHeight w:val="21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(13,342)</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(82,875)</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(2,349)</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shd w:val="clear" w:color="auto" w:fill="CFF0FC"/>
          </w:tcPr>
          <w:p>
            <w:pPr>
              <w:spacing w:after="0"/>
              <w:rPr>
                <w:sz w:val="18"/>
                <w:szCs w:val="18"/>
                <w:color w:val="auto"/>
              </w:rPr>
            </w:pPr>
          </w:p>
        </w:tc>
      </w:tr>
      <w:tr>
        <w:trPr>
          <w:trHeight w:val="20"/>
        </w:trPr>
        <w:tc>
          <w:tcPr>
            <w:tcW w:w="48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(4,421)</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(10,993)</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(85,485)</w:t>
            </w:r>
          </w:p>
        </w:tc>
      </w:tr>
      <w:tr>
        <w:trPr>
          <w:trHeight w:val="20"/>
        </w:trPr>
        <w:tc>
          <w:tcPr>
            <w:tcW w:w="4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8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loss per common share</w:t>
            </w:r>
          </w:p>
        </w:tc>
        <w:tc>
          <w:tcPr>
            <w:tcW w:w="124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3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(4.49)</w:t>
            </w: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12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3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(4.49)</w:t>
            </w:r>
          </w:p>
        </w:tc>
      </w:tr>
      <w:tr>
        <w:trPr>
          <w:trHeight w:val="20"/>
        </w:trPr>
        <w:tc>
          <w:tcPr>
            <w:tcW w:w="4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9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18,916</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19,113</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19,130</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19,022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4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18,916</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19,113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19,130</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19,022</w:t>
            </w:r>
          </w:p>
        </w:tc>
        <w:tc>
          <w:tcPr>
            <w:tcW w:w="100" w:type="dxa"/>
            <w:vAlign w:val="bottom"/>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-3051175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-3051175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-3051175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-1945005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-1945005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-1945005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-1105535</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-1105535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-1105535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-822325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-822325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-822325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-513715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-496570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-513715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-496570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-513715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-496570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-187960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-170815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0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(4,421)</w:t>
            </w: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(2,126)</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(10,993)</w:t>
            </w: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(85,485)</w:t>
            </w:r>
          </w:p>
        </w:tc>
      </w:tr>
      <w:tr>
        <w:trPr>
          <w:trHeight w:val="210"/>
        </w:trPr>
        <w:tc>
          <w:tcPr>
            <w:tcW w:w="4600" w:type="dxa"/>
            <w:vAlign w:val="bottom"/>
            <w:tcBorders>
              <w:top w:val="single" w:sz="8" w:color="CFF0FC"/>
            </w:tcBorders>
          </w:tcPr>
          <w:p>
            <w:pPr>
              <w:spacing w:after="0"/>
              <w:rPr>
                <w:sz w:val="18"/>
                <w:szCs w:val="18"/>
                <w:color w:val="auto"/>
              </w:rPr>
            </w:pPr>
          </w:p>
        </w:tc>
        <w:tc>
          <w:tcPr>
            <w:tcW w:w="12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(893)</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20" w:type="dxa"/>
            <w:vAlign w:val="bottom"/>
          </w:tcPr>
          <w:p>
            <w:pPr>
              <w:spacing w:after="0"/>
              <w:rPr>
                <w:sz w:val="18"/>
                <w:szCs w:val="18"/>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change in market value of investments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FF0FC"/>
          </w:tcPr>
          <w:p>
            <w:pPr>
              <w:spacing w:after="0"/>
              <w:rPr>
                <w:sz w:val="18"/>
                <w:szCs w:val="18"/>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(872)</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2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(4,779)</w:t>
            </w: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(2,998)</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(13,282)</w:t>
            </w: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(78,911)</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-873760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-873760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-873760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-316230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-316230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-316230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23"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(10,993)</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(85,485)</w:t>
            </w:r>
          </w:p>
        </w:tc>
      </w:tr>
      <w:tr>
        <w:trPr>
          <w:trHeight w:val="203"/>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Depreciation</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4,671</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Impairment of property and equipment</w:t>
            </w:r>
          </w:p>
        </w:tc>
        <w:tc>
          <w:tcPr>
            <w:tcW w:w="10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6,651</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Deferred income taxes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4,641</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(3,537)</w:t>
            </w:r>
          </w:p>
        </w:tc>
      </w:tr>
      <w:tr>
        <w:trPr>
          <w:trHeight w:val="203"/>
        </w:trPr>
        <w:tc>
          <w:tcPr>
            <w:tcW w:w="7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9,831</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Credit losses on note receivable</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7,310</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Goodwill impairment</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83,895</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Reduction in the carrying amount of operating lease right-of-use assets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3,610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5,419</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Other, net</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Accounts receivable</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20,355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21,996</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Deferred commissions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6,523</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6,505</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(9,085)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(3,995)</w:t>
            </w:r>
          </w:p>
        </w:tc>
      </w:tr>
      <w:tr>
        <w:trPr>
          <w:trHeight w:val="203"/>
        </w:trPr>
        <w:tc>
          <w:tcPr>
            <w:tcW w:w="7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Accounts payable</w:t>
            </w:r>
          </w:p>
        </w:tc>
        <w:tc>
          <w:tcPr>
            <w:tcW w:w="10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0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(18,716)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(15,363)</w:t>
            </w:r>
          </w:p>
        </w:tc>
      </w:tr>
      <w:tr>
        <w:trPr>
          <w:trHeight w:val="203"/>
        </w:trPr>
        <w:tc>
          <w:tcPr>
            <w:tcW w:w="7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Deferred revenue</w:t>
            </w:r>
          </w:p>
        </w:tc>
        <w:tc>
          <w:tcPr>
            <w:tcW w:w="10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(6,739)</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(6,924)</w:t>
            </w:r>
          </w:p>
        </w:tc>
      </w:tr>
      <w:tr>
        <w:trPr>
          <w:trHeight w:val="202"/>
        </w:trPr>
        <w:tc>
          <w:tcPr>
            <w:tcW w:w="77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13,128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(8,534)</w:t>
            </w: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33,408</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24,293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0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(24,771)</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(1,923)</w:t>
            </w:r>
          </w:p>
        </w:tc>
      </w:tr>
      <w:tr>
        <w:trPr>
          <w:trHeight w:val="203"/>
        </w:trPr>
        <w:tc>
          <w:tcPr>
            <w:tcW w:w="7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Purchases of marketable investments</w:t>
            </w:r>
          </w:p>
        </w:tc>
        <w:tc>
          <w:tcPr>
            <w:tcW w:w="10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(20,320)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(32,283)</w:t>
            </w:r>
          </w:p>
        </w:tc>
      </w:tr>
      <w:tr>
        <w:trPr>
          <w:trHeight w:val="203"/>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Proceeds from maturities of marketable investments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8,264</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12,050</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sales of marketable investments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4,813</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Other investing activity</w:t>
            </w:r>
          </w:p>
        </w:tc>
        <w:tc>
          <w:tcPr>
            <w:tcW w:w="10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1,638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(24,058)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(15,705)</w:t>
            </w: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borrowings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Payments on borrowings</w:t>
            </w:r>
          </w:p>
        </w:tc>
        <w:tc>
          <w:tcPr>
            <w:tcW w:w="10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(26,000)</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0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0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(11,294)</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(2,407)</w:t>
            </w:r>
          </w:p>
        </w:tc>
      </w:tr>
      <w:tr>
        <w:trPr>
          <w:trHeight w:val="203"/>
        </w:trPr>
        <w:tc>
          <w:tcPr>
            <w:tcW w:w="7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common stock under employee equity incentive plans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1,264</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Taxes paid related to net share settlements of stock-based compensation awards</w:t>
            </w:r>
          </w:p>
        </w:tc>
        <w:tc>
          <w:tcPr>
            <w:tcW w:w="10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(1,160)</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(1,231)</w:t>
            </w: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(16,817)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(2,374)</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10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(1,806)</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100" w:type="dxa"/>
            <w:vAlign w:val="bottom"/>
            <w:shd w:val="clear" w:color="auto" w:fill="CFF0FC"/>
          </w:tcPr>
          <w:p>
            <w:pPr>
              <w:spacing w:after="0"/>
              <w:rPr>
                <w:sz w:val="17"/>
                <w:szCs w:val="17"/>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Net change in cash, cash equivalents and restricted cash</w:t>
            </w:r>
          </w:p>
        </w:tc>
        <w:tc>
          <w:tcPr>
            <w:tcW w:w="10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(9,273)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9,187</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0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65,586</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58,186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56,313</w:t>
            </w:r>
          </w:p>
        </w:tc>
        <w:tc>
          <w:tcPr>
            <w:tcW w:w="18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67,373</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w:t>
            </w:r>
          </w:p>
        </w:tc>
        <w:tc>
          <w:tcPr>
            <w:tcW w:w="18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1,694</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100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2,647</w:t>
            </w:r>
          </w:p>
        </w:tc>
        <w:tc>
          <w:tcPr>
            <w:tcW w:w="1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6,455</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Non-cash transactions: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Additions to property and equipment included in accounts payable and accrued expenses</w:t>
            </w:r>
          </w:p>
        </w:tc>
        <w:tc>
          <w:tcPr>
            <w:tcW w:w="100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2,577</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-3179445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-2399665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-1366520</wp:posOffset>
            </wp:positionV>
            <wp:extent cx="939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-1366520</wp:posOffset>
            </wp:positionV>
            <wp:extent cx="939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-1079500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-814070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Interim Consolidated Financial Statements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generally accepted accounting principles in the United States of America (“GAAP”) for interim financial information and pursuant to the rules and regulations of the Securities and Exchange Commission (“SEC”) for reporting on Form 10-Q. Accordingly, certain information and footnote disclosures required for complete financial statements are not included herein. The year-end balance sheet data was derived from audited financial statements, but does not include all disclosures required by GAAP. It is recommended that these financial statements be read in conjunction with the consolidated financial statements and related notes that appear in the Forrester Research, Inc. (“Forrester”) Annual Report on Form 10-K for the year ended December 31, 2025. In the opinion of management, all adjustments (consisting of normal recurring adjustments) considered necessary for a fair statement of the financial position, results of operations, comprehensive loss, and cash flows as of the dates and for the periods presented have been included. The results of operations for the three and nine months ended September 30, 2026 may not be indicative of the results for the year ending December 31, 2026, or any other period.</w:t>
      </w:r>
    </w:p>
    <w:p>
      <w:pPr>
        <w:spacing w:after="0" w:line="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Presentation of Restricted Cash</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end-of-period cash and cash equivalents from the Company's Consolidated Balance Sheets and the total cash, cash equivalents and restricted cash as presented on the accompanying Consolidated Statements of Cash Flows (in thousands).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8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shown in balance sheets</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54,092</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65,121</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classified in other assets (1):</w:t>
            </w:r>
          </w:p>
        </w:tc>
        <w:tc>
          <w:tcPr>
            <w:tcW w:w="9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2,221</w:t>
            </w:r>
          </w:p>
        </w:tc>
        <w:tc>
          <w:tcPr>
            <w:tcW w:w="5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2,252</w:t>
            </w:r>
          </w:p>
        </w:tc>
      </w:tr>
      <w:tr>
        <w:trPr>
          <w:trHeight w:val="20"/>
        </w:trPr>
        <w:tc>
          <w:tcPr>
            <w:tcW w:w="6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shown in statement of cash flows</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56,313</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67,373</w:t>
            </w:r>
          </w:p>
        </w:tc>
      </w:tr>
      <w:tr>
        <w:trPr>
          <w:trHeight w:val="20"/>
        </w:trPr>
        <w:tc>
          <w:tcPr>
            <w:tcW w:w="68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3" w:lineRule="exact"/>
        <w:rPr>
          <w:sz w:val="20"/>
          <w:szCs w:val="20"/>
          <w:color w:val="auto"/>
        </w:rPr>
      </w:pPr>
    </w:p>
    <w:p>
      <w:pPr>
        <w:ind w:left="380" w:right="10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consists of collateral required for leased office space. The short-term or long-term classification regarding the collateral for the leased office space is determined in accordance with the expiration of the underlying leases.</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The new standard requires disclosures about specific types of expenses included in the expense captions presented on the face of the income statement as well as disclosures about selling expenses. The new standard will be effective for the Company on January 1, 2027, with early adoption permitted. The Company anticipates adopting this standard on January 1, 2027 on a prospective basis, which will result in additional disclosures of expenses in the footnotes to its financial statements.</w:t>
      </w:r>
    </w:p>
    <w:p>
      <w:pPr>
        <w:spacing w:after="0" w:line="7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Recent accounting standards not included above are not expected to have a material impact on our consolidated financial position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Divestiture</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August 2024, the Company completed the sale of a non-core product line, FeedbackNow, for approximately $17.6 million. The Company received $6.0 million in cash from the sale, along with a note receivable of $9.0 million, and a non-marketable equity investment in the acquirer valued at $2.6 million, which is accounted for under the cost method.</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repayment terms of the note were modified during the first quarter of 2025 resulting in $1.5 million plus all accrued interest being due in December 2025, and the remainder due in the second quarter of 2026. The Company measures the note receivable on an amortized cost basis and records the estimate of any expected credit losses on the note receivable as an allowance for credit losses. In conjunction with the modification of the repayment terms of the note, the Company updated its analysis of the current expected credit loss for the note. As a result, during the three months ended March 31, 2025, the Company recorded a $0.9 million allowance for credit losses. As a result of a change in the borrower's expected ability to make the scheduled payments on the note, during the three months ended September 30, 2025, the Company's assessment of default risk on the note increased. Accordingly, the Company updated its analysis of the current expected credit loss for the note. As a result, the Company recorded an additional $6.4 million allowance for credit losses during the three months ended September 30, 2025. As anticipated during the Company’s assessment of</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right="460"/>
        <w:spacing w:after="0" w:line="282" w:lineRule="auto"/>
        <w:rPr>
          <w:sz w:val="20"/>
          <w:szCs w:val="20"/>
          <w:color w:val="auto"/>
        </w:rPr>
      </w:pPr>
      <w:r>
        <w:rPr>
          <w:rFonts w:ascii="Times New Roman" w:cs="Times New Roman" w:eastAsia="Times New Roman" w:hAnsi="Times New Roman"/>
          <w:sz w:val="18"/>
          <w:szCs w:val="18"/>
          <w:color w:val="auto"/>
        </w:rPr>
        <w:t>credit risk during the third quarter of 2025, the scheduled principal and interest payments due in December 2025 and June 2026 were not made by the borrower.</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2026, the Company's assessment of default risk on the note increased and the Company updated its analysis of the current expected credit loss for the note. As a result, the Company recorded an additional $0.9 million allowance for credit losses during the three months ended June 30, 2026. During the three months ended September 30, 2026, the terms of the note were modified to, among other items, defer interest payments until 2028, defer principal payments until 2030, and reduce the interest rate from 8% to 6%.</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any amount of the note is determined by the Company to be uncollectible due to the borrower’s failure to meet repayment terms or due to the borrower's deteriorating financial condition, the write-off amount, reduced by any previously recorded allowances, would also be recorded as a credit loss expense. As of September 30, 2026, the balance of the note receivable, inclusive of capitalized interest, is $10.0 million. The carrying value of the note, net of the cumulative allowance for credit losses, is $1.8 million and is recorded within other assets in the Consolidated Balance Sheets. The allowance for credit losses is reported as a valuation account on the balance sheet that is deducted from the note receivable’s amortized cost basis and is included in credit loss expense on note receivable in the Consolidated Statement of Operations.</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given that collection of interest on the loan is less than probable, interest income recognition was suspended during the third quarter of 2025. As such, interest income will only be recognized to the extent that cash is received. In the future, the accrual of interest income will be restored only when the borrower is contractually current or the collection of future payments is reasonably assured. As of September 30, 2026, the note receivable remains in nonaccrual status.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Marketable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investments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0"/>
                <w:szCs w:val="10"/>
                <w:color w:val="auto"/>
              </w:rPr>
            </w:pPr>
          </w:p>
        </w:tc>
        <w:tc>
          <w:tcPr>
            <w:tcW w:w="900" w:type="dxa"/>
            <w:vAlign w:val="bottom"/>
          </w:tcPr>
          <w:p>
            <w:pPr>
              <w:jc w:val="center"/>
              <w:ind w:left="14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900" w:type="dxa"/>
            <w:vAlign w:val="bottom"/>
            <w:tcBorders>
              <w:bottom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obligations</w:t>
            </w:r>
          </w:p>
        </w:tc>
        <w:tc>
          <w:tcPr>
            <w:tcW w:w="2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16,130</w:t>
            </w:r>
          </w:p>
        </w:tc>
        <w:tc>
          <w:tcPr>
            <w:tcW w:w="1160" w:type="dxa"/>
            <w:vAlign w:val="bottom"/>
            <w:gridSpan w:val="2"/>
            <w:shd w:val="clear" w:color="auto" w:fill="CFF0FC"/>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47,531</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63,661</w:t>
            </w:r>
          </w:p>
        </w:tc>
        <w:tc>
          <w:tcPr>
            <w:tcW w:w="1160" w:type="dxa"/>
            <w:vAlign w:val="bottom"/>
            <w:gridSpan w:val="2"/>
            <w:shd w:val="clear" w:color="auto" w:fill="CFF0FC"/>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0"/>
                <w:szCs w:val="10"/>
                <w:color w:val="auto"/>
              </w:rPr>
            </w:pPr>
          </w:p>
        </w:tc>
        <w:tc>
          <w:tcPr>
            <w:tcW w:w="900" w:type="dxa"/>
            <w:vAlign w:val="bottom"/>
          </w:tcPr>
          <w:p>
            <w:pPr>
              <w:jc w:val="center"/>
              <w:ind w:left="14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900" w:type="dxa"/>
            <w:vAlign w:val="bottom"/>
            <w:tcBorders>
              <w:bottom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obligations</w:t>
            </w:r>
          </w:p>
        </w:tc>
        <w:tc>
          <w:tcPr>
            <w:tcW w:w="2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16,641</w:t>
            </w:r>
          </w:p>
        </w:tc>
        <w:tc>
          <w:tcPr>
            <w:tcW w:w="1160" w:type="dxa"/>
            <w:vAlign w:val="bottom"/>
            <w:gridSpan w:val="2"/>
            <w:shd w:val="clear" w:color="auto" w:fill="CFF0FC"/>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47,599</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64,240</w:t>
            </w:r>
          </w:p>
        </w:tc>
        <w:tc>
          <w:tcPr>
            <w:tcW w:w="1160" w:type="dxa"/>
            <w:vAlign w:val="bottom"/>
            <w:gridSpan w:val="2"/>
            <w:shd w:val="clear" w:color="auto" w:fill="CFF0FC"/>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-1002665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-985520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-1002665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-985520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-1002665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-985520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-25400</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Realized gains and losses on investments are included in earnings and are determined using the specific identification method. Sales of marketable investments during 2026 and 2025 primarily represent redemptions from non-U.S. based money market funds, and realized gains or losses on sales of marketable investments were immaterial during the three and nine months ended September 30, 2026 and 2025.</w:t>
      </w:r>
    </w:p>
    <w:p>
      <w:pPr>
        <w:spacing w:after="0" w:line="68"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maturity periods of the marketable investments in the Company’s portfolio as of September 30, 2026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FY 2026</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FY 2027</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FY 2028</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FY 2029</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obligations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47,531</w:t>
            </w:r>
          </w:p>
        </w:tc>
        <w:tc>
          <w:tcPr>
            <w:tcW w:w="100" w:type="dxa"/>
            <w:vAlign w:val="bottom"/>
          </w:tcPr>
          <w:p>
            <w:pPr>
              <w:spacing w:after="0"/>
              <w:rPr>
                <w:sz w:val="18"/>
                <w:szCs w:val="18"/>
                <w:color w:val="auto"/>
              </w:rPr>
            </w:pPr>
          </w:p>
        </w:tc>
      </w:tr>
      <w:tr>
        <w:trPr>
          <w:trHeight w:val="24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49,331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63,519</w:t>
            </w:r>
          </w:p>
        </w:tc>
        <w:tc>
          <w:tcPr>
            <w:tcW w:w="100" w:type="dxa"/>
            <w:vAlign w:val="bottom"/>
            <w:shd w:val="clear" w:color="auto" w:fill="CFF0FC"/>
          </w:tcPr>
          <w:p>
            <w:pPr>
              <w:spacing w:after="0"/>
              <w:rPr>
                <w:sz w:val="21"/>
                <w:szCs w:val="21"/>
                <w:color w:val="auto"/>
              </w:rPr>
            </w:pPr>
          </w:p>
        </w:tc>
      </w:tr>
      <w:tr>
        <w:trPr>
          <w:trHeight w:val="656"/>
        </w:trPr>
        <w:tc>
          <w:tcPr>
            <w:tcW w:w="5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-951230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-933450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-951230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-933450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-951230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-933450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-951230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-933450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shows the gross unrealized losses and market value of the Company’s available-for-sale securities with unrealized losses that are not deemed to be other-than-temporary, aggregated by investment category and length of time that individual securities have been in a continuous unrealized loss position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tcPr>
          <w:p>
            <w:pPr>
              <w:jc w:val="right"/>
              <w:ind w:right="542"/>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4"/>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100" w:type="dxa"/>
            <w:vAlign w:val="bottom"/>
          </w:tcPr>
          <w:p>
            <w:pPr>
              <w:spacing w:after="0"/>
              <w:rPr>
                <w:sz w:val="12"/>
                <w:szCs w:val="12"/>
                <w:color w:val="auto"/>
              </w:rPr>
            </w:pPr>
          </w:p>
        </w:tc>
      </w:tr>
      <w:tr>
        <w:trPr>
          <w:trHeight w:val="117"/>
        </w:trPr>
        <w:tc>
          <w:tcPr>
            <w:tcW w:w="5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282"/>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162"/>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ind w:right="142"/>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r>
      <w:tr>
        <w:trPr>
          <w:trHeight w:val="173"/>
        </w:trPr>
        <w:tc>
          <w:tcPr>
            <w:tcW w:w="58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obligations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-170815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Goodwill and Other Intangible Assets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100" w:firstLine="509"/>
        <w:spacing w:after="0" w:line="277" w:lineRule="auto"/>
        <w:rPr>
          <w:sz w:val="20"/>
          <w:szCs w:val="20"/>
          <w:color w:val="auto"/>
        </w:rPr>
      </w:pPr>
      <w:r>
        <w:rPr>
          <w:rFonts w:ascii="Times New Roman" w:cs="Times New Roman" w:eastAsia="Times New Roman" w:hAnsi="Times New Roman"/>
          <w:sz w:val="17"/>
          <w:szCs w:val="17"/>
          <w:color w:val="auto"/>
        </w:rPr>
        <w:t>Goodwill represents the excess of the purchase price of acquired businesses over the estimated fair values of the tangible and identifiable intangible net assets acquired. Goodwill is not amortized; however, it is required to be tested for impairment annually, which requires assessment of the potential impairment at the reporting unit level. Reporting units are determined based on the components of the Company's operating segments that constitute a business for which discrete financial information is available and for which operating results are regularly reviewed by segment management. Testing for impairment is also required on an interim basis if an event or circumstance indicates it is more likely than not an impairment loss has been incurred.</w:t>
      </w:r>
    </w:p>
    <w:p>
      <w:pPr>
        <w:spacing w:after="0" w:line="6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substantial and sustained decline in the Company's stock price and its overall market capitalization from December 31, 2025 through March 31, 2026, it was determined that a triggering event occurred as of March 31, 2026, indicating goodwill may be impaired. Accordingly, the Company conducted a quantitative impairment test of its goodwill as of March 31, 2026 for its two reporting units (Research and Consulting) that have goodwill. As a result of the quantitative impairment test performed, the Company determined goodwill was impaired for its Research reporting unit and recorded a goodwill impairment charge of $10.8 million during the period ended March 31, 2026.</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estimated the implied fair value of its reporting units as of March 31, 2026 using an income approach. The income approach was based upon projected future cash flows that were discounted to present value. The key underlying assumptions included forecasted revenues, operating expenses, terminal rate, as well as an applicable discount rate for each reporting unit. Fair value estimates are based on a complex series of judgments about future events and rely heavily on estimates and assumptions that have been deemed reasonable by the Company. Changes in the estimates or assumptions used in the quantitative impairment test could materially affect the determination of fair value of the Company’s reporting units and the associated goodwill impairment assessment. Potential events and circumstances that could have an adverse impact on the Company's estimates and assumptions include, but are not limited to, lower than expected bookings growth, increases in costs, and other macroeconomic factors.</w:t>
      </w:r>
    </w:p>
    <w:p>
      <w:pPr>
        <w:spacing w:after="0" w:line="8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reviews long-lived assets, including property and equipment, operating lease right-of-use assets, and finite-lived intangible assets, for impairment when an event occurs that may indicate potential impairment. In connection with the identified triggering event as of March 31, 2026, the Company performed, prior to the goodwill impairment test, a quantitative assessment of its long-lived assets by comparing undiscounted future cash flows to the net carrying value of the underlying assets, and concluded that its long-lived assets were not impaired. However, if future events occur or if business conditions deteriorate, the Company may be required to record an impairment loss, and or accelerate the amortization of finite-lived intangible assets in the future, which could be material to its results of operations and financial condition.</w:t>
      </w:r>
    </w:p>
    <w:p>
      <w:pPr>
        <w:spacing w:after="0" w:line="79"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Management concluded that a triggering event did not occur during the three-month periods ended June 30, 2026 and September 30, 2026 and as such, a quantitative impairment test of goodwill was not required during the periods. While management cannot predict if or when additional goodwill impairments may occur, future goodwill impairments could have material adverse effects on the Company's results of operations and financial condition. The Company will complete its annual goodwill impairment test as of November 30, 2026. In addition, throughout the remainder of 2026, the Company will continue to monitor relevant facts and circumstances, including future changes in its stock price, to determine if another interim impairment test is required. The Company may be required to record additional goodwill impairment charges.</w:t>
      </w:r>
    </w:p>
    <w:p>
      <w:pPr>
        <w:spacing w:after="0" w:line="7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$121.5 million of accumulated goodwill impairment losses. Goodwill of $8.3 million is allocated to the Company’s Consulting reporting unit, which had a negative carrying value as of March 31, 2026, the date of the last impairment test.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color w:val="auto"/>
        </w:rPr>
        <w:t>The change in the carrying amount of goodwill for the nine months ended September 30, 2026 is summarized as follows (in thousands):</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4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Research Segment</w:t>
            </w:r>
          </w:p>
        </w:tc>
        <w:tc>
          <w:tcPr>
            <w:tcW w:w="180" w:type="dxa"/>
            <w:vAlign w:val="bottom"/>
          </w:tcPr>
          <w:p>
            <w:pPr>
              <w:spacing w:after="0"/>
              <w:rPr>
                <w:sz w:val="13"/>
                <w:szCs w:val="13"/>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260" w:type="dxa"/>
            <w:vAlign w:val="bottom"/>
          </w:tcPr>
          <w:p>
            <w:pPr>
              <w:spacing w:after="0"/>
              <w:rPr>
                <w:sz w:val="13"/>
                <w:szCs w:val="13"/>
                <w:color w:val="auto"/>
              </w:rPr>
            </w:pPr>
          </w:p>
        </w:tc>
        <w:tc>
          <w:tcPr>
            <w:tcW w:w="10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80" w:type="dxa"/>
            <w:vAlign w:val="bottom"/>
            <w:tcBorders>
              <w:top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112,080</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3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(10,800)</w:t>
            </w: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3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(593)</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0"/>
        </w:trPr>
        <w:tc>
          <w:tcPr>
            <w:tcW w:w="5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100,687</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108,944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-170815</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result of the substantial and sustained decline in the Company's stock price and its overall market capitalization from mid-February 2025 through March 31, 2025, along with other qualitative considerations, including the impact from the conditions in the macroeconomic environment, uncertainty created by changes in the United States’ trade policies, and the larger than expected decline in contract bookings during the first quarter of 2025, it was determined that a triggering event occurred as of March 31, 2025, indicating goodwill may be impaired. Accordingly, the Company conducted a quantitative impairment test of its goodwill as of March 31, 2025 for its Research and Consulting reporting units. As a result of the quantitative impairment test performed, the Company determined goodwill was impaired for its Research reporting unit and recorded a goodwill impairment charge of $83.9 million during the three-month period ended March 31, 2025.</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values of finite-lived intangible assets are as follows (in thousands):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ind w:right="12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ind w:right="125"/>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64,514</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3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ind w:right="12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ind w:right="125"/>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58,270</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-719455</wp:posOffset>
            </wp:positionV>
            <wp:extent cx="596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-702310</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-719455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-702310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-719455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-702310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59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Estimated intangible asset amortization expense for each of the three succeeding years is as follows (in thousands):</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(remainder)</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8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8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8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March 12, 2026, the Company executed a third amendment of its existing Credit Agreement in order to extend its maturity period and to reduce the size of the Revolving Credit Facility. The key terms of the amendment include (a) an extension of the maturity date from December 2026 until March 12, 2029, (b) a reduction in the Revolving Credit Facility from $150.0 million to $50.0 million, (c) a reduction in the amount that the Company is permitted, subject to approval by the Administrative Agent, to increase commitments under the Revolving Credit Facility from $50.0 million to $15.0 million, and (d) the addition of a minimum liquidity covenant. As part of the amendment, the number of lenders on the facility was reduced from three to one, resulting in the simultaneous borrowing and repayment of $21.0 million of the facility at the closing.</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credit facility contains certain customary restrictive loan covenants, including among others, financial covenants that apply a maximum leverage ratio, minimum interest coverage ratio, minimum liquidity amount, and maximum annual capital expenditures. The negative covenants limit, subject to various exceptions, the Company’s ability to incur additional indebtedness, create liens on assets, merge, consolidate, liquidate or dissolve any part of the Company, sell assets, change fiscal year, or enter into certain transactions with affiliates and subsidiaries. The Company was in full compliance with the covenants as of September 30, 2026.</w:t>
      </w:r>
    </w:p>
    <w:p>
      <w:pPr>
        <w:spacing w:after="0" w:line="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may voluntarily prepay revolving loans under the credit facility at any time and from time to time, without premium or penalty. No interim amortization payments are required to be made under the credit facility.</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0" w:name="page11"/>
    <w:bookmarkEnd w:id="10"/>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Up to $5.0 million of the credit facility is available for the issuance of letters of credit, and any drawings under the letters of credit must be reimbursed within one business day. As of September 30, 2026, $0.7 million in letters of credit were issued under the credit facility.</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Outstanding Borrowings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total outstanding borrowing as of September 30, 2026 and December 31, 2025 was $30.0 million and $35.0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annualized interest rate as of September 30, 2026 was 5.49%.</w:t>
      </w:r>
    </w:p>
    <w:p>
      <w:pPr>
        <w:spacing w:after="0" w:line="9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 had $19.3 million of available borrowing capacity on the credit facility (not including the expansion feature) as of September 30, 2026. The weighted average annual effective interest rate for the three and nine months ended September 30, 2026, was 5.28% and 5.20%, respectively.</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All obligations under the credit facility are unconditionally guaranteed by each of the Company’s existing and future, direct and indirect, material wholly-owned domestic subsidiaries, other than certain excluded subsidiaries, and are collateralized by a first priority lien on substantially all tangible and intangible assets, including intellectual property, and all of the capital stock of the Company's subsidiaries (limited to 65% of the voting equity of certain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Revenue and Related Matters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disaggregates revenue as set forth in the following tables (in thousands):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Revenue by Geography</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3"/>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Revenues: (1)</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65,376</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73,648</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208,258</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237,151</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37,248</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17,517</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16,371</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Pr>
          <w:p>
            <w:pPr>
              <w:spacing w:after="0"/>
              <w:rPr>
                <w:sz w:val="18"/>
                <w:szCs w:val="18"/>
                <w:color w:val="auto"/>
              </w:rPr>
            </w:pPr>
          </w:p>
        </w:tc>
      </w:tr>
      <w:tr>
        <w:trPr>
          <w:trHeight w:val="23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86,107</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94,295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271,794</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295,830</w:t>
            </w:r>
          </w:p>
        </w:tc>
        <w:tc>
          <w:tcPr>
            <w:tcW w:w="100" w:type="dxa"/>
            <w:vAlign w:val="bottom"/>
            <w:shd w:val="clear" w:color="auto" w:fill="CFF0FC"/>
          </w:tcPr>
          <w:p>
            <w:pPr>
              <w:spacing w:after="0"/>
              <w:rPr>
                <w:sz w:val="19"/>
                <w:szCs w:val="19"/>
                <w:color w:val="auto"/>
              </w:rPr>
            </w:pP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8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Revenue location is determined based on where the products and services are consumed.</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Accounts receivable includes amounts billed and currently due from customers. Since the only condition for payment of the Company’s invoices is the passage of time, a receivable is recorded on the date an invoice is issued. Also included in accounts receivable are unbilled amounts resulting from revenue exceeding the amount billed to the customer, where the right to payment is unconditional. If the right to payment for services performed was conditional on something other than the passage of time, the unbilled amount would be recorded as a separate contract asset. There were no contract assets as of September 30, 2026 or December 31, 2025.</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majority of the Company’s contracts are non-cancelable. However, for contracts that are cancelable by the customer, the Company does not record a receivable when it issues an invoice. The Company records accounts receivable on these contracts only up to the amount of revenue earned but not yet collected.</w:t>
      </w:r>
    </w:p>
    <w:p>
      <w:pPr>
        <w:spacing w:after="0" w:line="6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addition, since the majority of the Company’s contracts are invoiced for annual periods, and payment is expected within one year from the transfer of products and services, the Company does not adjust its receivables or transaction prices for the effects of a significant financing component.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Deferred Revenue</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refers to contract liabilities as deferred revenue in the Consolidated Balance Sheets. Payment terms in the Company’s customer contracts vary, but generally require payment in advance of fully satisfying the performance obligation(s). Deferred revenue consists of billings in excess of revenue recognized. Similar to accounts receivable, the Company does not record deferred revenue for unpaid invoices issued on a cancelable contract.</w:t>
      </w:r>
    </w:p>
    <w:p>
      <w:pPr>
        <w:spacing w:after="0" w:line="8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and 2025, the Company recognized $119.0 million and $133.2 million of revenue, respectively, related to its deferred revenue balance at January 1 of each such period.</w:t>
      </w:r>
    </w:p>
    <w:p>
      <w:pPr>
        <w:spacing w:after="0" w:line="6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Approximately $279.7 million of revenue is expected to be recognized during the next 36 months from remaining performance obligations as of September 30, 2026.</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8"/>
          <w:szCs w:val="18"/>
          <w:i w:val="1"/>
          <w:iCs w:val="1"/>
          <w:color w:val="auto"/>
        </w:rPr>
        <w:t>Reserves for Credit Losses on Accounts Receivable</w:t>
      </w:r>
    </w:p>
    <w:p>
      <w:pPr>
        <w:spacing w:after="0" w:line="11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allowance for expected credit losses on accounts receivable for the nine months ended September 30, 2026 is summarized as follows (in thousands):</w:t>
      </w:r>
    </w:p>
    <w:p>
      <w:pPr>
        <w:sectPr>
          <w:pgSz w:w="11900" w:h="16838" w:orient="portrait"/>
          <w:cols w:equalWidth="0" w:num="1">
            <w:col w:w="11200"/>
          </w:cols>
          <w:pgMar w:left="320" w:top="1091" w:right="379" w:bottom="1440" w:gutter="0" w:footer="0" w:header="0"/>
        </w:sectPr>
      </w:pPr>
    </w:p>
    <w:p>
      <w:pPr>
        <w:spacing w:after="0" w:line="3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13335</wp:posOffset>
            </wp:positionV>
            <wp:extent cx="5700395"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Write-offs</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September 30, 2026</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9601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1220" w:hanging="1220"/>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w:t>
      </w:r>
    </w:p>
    <w:p>
      <w:pPr>
        <w:spacing w:after="0" w:line="7"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w:t>
      </w:r>
    </w:p>
    <w:p>
      <w:pPr>
        <w:spacing w:after="0" w:line="9" w:lineRule="exact"/>
        <w:rPr>
          <w:sz w:val="20"/>
          <w:szCs w:val="20"/>
          <w:color w:val="auto"/>
        </w:rPr>
      </w:pPr>
    </w:p>
    <w:p>
      <w:pPr>
        <w:jc w:val="right"/>
        <w:ind w:right="1100"/>
        <w:spacing w:after="0"/>
        <w:rPr>
          <w:sz w:val="20"/>
          <w:szCs w:val="20"/>
          <w:color w:val="auto"/>
        </w:rPr>
      </w:pPr>
      <w:r>
        <w:rPr>
          <w:rFonts w:ascii="Times New Roman" w:cs="Times New Roman" w:eastAsia="Times New Roman" w:hAnsi="Times New Roman"/>
          <w:sz w:val="18"/>
          <w:szCs w:val="18"/>
          <w:color w:val="auto"/>
        </w:rPr>
        <w:t>(192)</w:t>
      </w:r>
    </w:p>
    <w:p>
      <w:pPr>
        <w:spacing w:after="0" w:line="9" w:lineRule="exact"/>
        <w:rPr>
          <w:sz w:val="20"/>
          <w:szCs w:val="20"/>
          <w:color w:val="auto"/>
        </w:rPr>
      </w:pPr>
    </w:p>
    <w:p>
      <w:pPr>
        <w:ind w:left="1220" w:hanging="1220"/>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601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9601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7800" w:space="720"/>
            <w:col w:w="2680"/>
          </w:cols>
          <w:pgMar w:left="320" w:top="1091" w:right="379" w:bottom="1440" w:gutter="0" w:footer="0" w:header="0"/>
          <w:type w:val="continuous"/>
        </w:sect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When evaluating the adequacy of the allowance for expected credit losses, the Company makes judgments regarding the collectability of accounts receivable based, in part, on the Company’s historical loss rate experience, customer concentrations, management’s expectations of future losses as informed by current economic conditions, and changes in customer payment terms. If the expected financial condition of the Company’s customers were to deteriorate, resulting in an impairment of their ability to make payments, additional allowances may be required. If the expected financial condition of the Company’s customers were to improve, the allowances may be reduced accordingly.</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to Obtain Contracts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commissions paid to sales representatives and related fringe benefits costs that are incremental to obtaining customer contracts. These costs are included in deferred commissions in the Consolidated Balance Sheets. The Company elected the practical expedient to account for these costs at a portfolio level as the Company’s contracts are similar in nature and the amortization model used closely matches the amortization expense that would be recognized on a contract-by-contract basis. Costs to obtain a contract are amortized to earnings over the initial contract term, which is the same period the related revenue is recognized.</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Amortization expense related to deferred commissions for the three months ended September 30, 2026 and 2025 was $7.9 million and $8.4 million, respectively, and is recorded in selling and marketing expenses in the Consolidated Statements of Operations. Amortization expense related to deferred commissions for the nine months ended September 30, 2026 and 2025 was $23.7 million and $24.9 million, respectively. The Company evaluates the recoverability of deferred commissions at each balance sheet date and there were no impairments recorded during the nine months ended September 30, 2026 and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a limited number of foreign currency forward exchange contracts to mitigate the effects of adverse fluctuations in foreign currency exchange rates on transactions entered into in the normal course of business that are denominated in foreign currencies that differ from the local functional currency. These contracts generally have short durations and are recorded at fair value with both realized and unrealized gains and losses recorded in other income, net in the Consolidated Statements of Operations because the Company does not designate these contracts as hedges for accounting purposes.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entered into eight foreign currency forward exchange contracts, all of which settled by September 30, 2026. Accordingly, as of September 30, 2026, there is no amount recorded in the Consolidated Balance Sheets for these contracts. During the nine months ended September 30, 2025, the Company entered into ten foreign currency forward exchange contracts, all of which settled by September 30, 2025. Accordingly, as of September 30, 2025, there is no amount recorded in the Consolidated Balance Sheets for these contracts.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Company’s derivative counterparties are investment grade financial institutions. The Company does not have any collateral arrangements with these counterparties and the derivative contracts do not contain credit risk-related contingent features. The table below provides information regarding gains (losses) recognized in the Consolidated Statements of Operations for the derivative contracts for the periods indicated (in thousands):</w:t>
      </w:r>
    </w:p>
    <w:p>
      <w:pPr>
        <w:spacing w:after="0" w:line="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5"/>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 recorded in:</w:t>
            </w:r>
          </w:p>
        </w:tc>
        <w:tc>
          <w:tcPr>
            <w:tcW w:w="2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(81)</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(211)</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carrying amounts reflected in the Consolidated Balance Sheets for cash, certain cash equivalents, accounts receivable, accounts payable, and accrued expenses approximate fair value due to their short-term maturities. The Company’s financial instruments also include its outstanding variable-rate borrowings (refer to Note 5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believes that the carrying amount of its variable-rate borrowings reasonably approximate their fair values because the rates of interest on those borrowings reflect current market rates of interest.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type w:val="continuous"/>
        </w:sectPr>
      </w:pPr>
    </w:p>
    <w:bookmarkStart w:id="12" w:name="page13"/>
    <w:bookmarkEnd w:id="12"/>
    <w:p>
      <w:pPr>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the Company has certain financial assets recorded at fair value at each balance sheet date, including cash equivalents and marketable investments in accordance with the accounting standards for fair value measurements. The fair values of these financial assets have been classified as Level 1, 2, or 3 within the fair value hierarchy as described below:</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 — Fair value based on quoted prices in active markets for identical assets or liabilities.</w:t>
      </w:r>
    </w:p>
    <w:p>
      <w:pPr>
        <w:spacing w:after="0" w:line="117"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Level 2 — Fair value based on inputs other than Level 1 inputs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8" w:lineRule="exact"/>
        <w:rPr>
          <w:sz w:val="20"/>
          <w:szCs w:val="20"/>
          <w:color w:val="auto"/>
        </w:rPr>
      </w:pPr>
    </w:p>
    <w:p>
      <w:pPr>
        <w:ind w:left="760" w:right="300"/>
        <w:spacing w:after="0" w:line="282" w:lineRule="auto"/>
        <w:rPr>
          <w:sz w:val="20"/>
          <w:szCs w:val="20"/>
          <w:color w:val="auto"/>
        </w:rPr>
      </w:pPr>
      <w:r>
        <w:rPr>
          <w:rFonts w:ascii="Times New Roman" w:cs="Times New Roman" w:eastAsia="Times New Roman" w:hAnsi="Times New Roman"/>
          <w:sz w:val="18"/>
          <w:szCs w:val="18"/>
          <w:color w:val="auto"/>
        </w:rPr>
        <w:t>Level 3 — Fair value based on unobservable inputs that are supported by little or no market activity and such inputs are significant to the fair value of the assets or liabilities.</w:t>
      </w:r>
    </w:p>
    <w:p>
      <w:pPr>
        <w:spacing w:after="0" w:line="5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fair value hierarchy for its financial assets that are measured at fair value on a recurring basis (in thousands):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700" w:type="dxa"/>
            <w:vAlign w:val="bottom"/>
          </w:tcPr>
          <w:p>
            <w:pPr>
              <w:spacing w:after="0"/>
              <w:rPr>
                <w:sz w:val="12"/>
                <w:szCs w:val="12"/>
                <w:color w:val="auto"/>
              </w:rPr>
            </w:pPr>
          </w:p>
        </w:tc>
        <w:tc>
          <w:tcPr>
            <w:tcW w:w="128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2"/>
                <w:szCs w:val="12"/>
                <w:color w:val="auto"/>
              </w:rPr>
            </w:pPr>
          </w:p>
        </w:tc>
        <w:tc>
          <w:tcPr>
            <w:tcW w:w="144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 (1)</w:t>
            </w:r>
          </w:p>
        </w:tc>
        <w:tc>
          <w:tcPr>
            <w:tcW w:w="128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59,509</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59,509</w:t>
            </w:r>
          </w:p>
        </w:tc>
      </w:tr>
      <w:tr>
        <w:trPr>
          <w:trHeight w:val="216"/>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Marketable investments (3)</w:t>
            </w:r>
          </w:p>
        </w:tc>
        <w:tc>
          <w:tcPr>
            <w:tcW w:w="1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15,988</w:t>
            </w:r>
          </w:p>
        </w:tc>
        <w:tc>
          <w:tcPr>
            <w:tcW w:w="4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15,988</w:t>
            </w:r>
          </w:p>
        </w:tc>
      </w:tr>
      <w:tr>
        <w:trPr>
          <w:trHeight w:val="20"/>
        </w:trPr>
        <w:tc>
          <w:tcPr>
            <w:tcW w:w="37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8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59,509</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15,988</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75,497</w:t>
            </w:r>
          </w:p>
        </w:tc>
      </w:tr>
      <w:tr>
        <w:trPr>
          <w:trHeight w:val="20"/>
        </w:trPr>
        <w:tc>
          <w:tcPr>
            <w:tcW w:w="37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37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700" w:type="dxa"/>
            <w:vAlign w:val="bottom"/>
          </w:tcPr>
          <w:p>
            <w:pPr>
              <w:spacing w:after="0"/>
              <w:rPr>
                <w:sz w:val="12"/>
                <w:szCs w:val="12"/>
                <w:color w:val="auto"/>
              </w:rPr>
            </w:pPr>
          </w:p>
        </w:tc>
        <w:tc>
          <w:tcPr>
            <w:tcW w:w="128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2"/>
                <w:szCs w:val="12"/>
                <w:color w:val="auto"/>
              </w:rPr>
            </w:pPr>
          </w:p>
        </w:tc>
        <w:tc>
          <w:tcPr>
            <w:tcW w:w="144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 (2)</w:t>
            </w:r>
          </w:p>
        </w:tc>
        <w:tc>
          <w:tcPr>
            <w:tcW w:w="128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64,743</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64,743</w:t>
            </w:r>
          </w:p>
        </w:tc>
      </w:tr>
      <w:tr>
        <w:trPr>
          <w:trHeight w:val="216"/>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Marketable investments (3)</w:t>
            </w:r>
          </w:p>
        </w:tc>
        <w:tc>
          <w:tcPr>
            <w:tcW w:w="1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16,722</w:t>
            </w:r>
          </w:p>
        </w:tc>
        <w:tc>
          <w:tcPr>
            <w:tcW w:w="4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16,722</w:t>
            </w:r>
          </w:p>
        </w:tc>
      </w:tr>
      <w:tr>
        <w:trPr>
          <w:trHeight w:val="20"/>
        </w:trPr>
        <w:tc>
          <w:tcPr>
            <w:tcW w:w="37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8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64,743</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16,722</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81,465</w:t>
            </w:r>
          </w:p>
        </w:tc>
      </w:tr>
      <w:tr>
        <w:trPr>
          <w:trHeight w:val="20"/>
        </w:trPr>
        <w:tc>
          <w:tcPr>
            <w:tcW w:w="37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-1096645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-1096645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-1096645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-170815</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right="340" w:hanging="372"/>
        <w:spacing w:after="0" w:line="261"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based funds of $12.0 million are included in cash and cash equivalents and non-U.S. based funds of $47.5 million are included in marketable investments in the Consolidated Balance Sheets.</w:t>
      </w:r>
    </w:p>
    <w:p>
      <w:pPr>
        <w:ind w:left="380" w:right="320" w:hanging="372"/>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based funds of $17.1 million are included in cash and cash equivalents and non-U.S. based funds of $47.6 million are included in marketable investments in the Consolidated Balance Sheets.</w:t>
      </w:r>
    </w:p>
    <w:p>
      <w:pPr>
        <w:ind w:left="380" w:right="200" w:hanging="372"/>
        <w:spacing w:after="0" w:line="253"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investments have been initially valued at the transaction price and subsequently valued, at the end of the reporting period, utilizing third party pricing services or other market observable data. The pricing services utilize industry standard valuation methods, including both income and market-based approaches and observable market inputs to determine value. These observable market inputs include reportable trades, benchmark yields, credit spreads, broker/dealer quotes, bids, offers, current spot rates and other industry and economic events.</w:t>
      </w:r>
    </w:p>
    <w:p>
      <w:pPr>
        <w:spacing w:after="0" w:line="8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did not transfer assets between levels of the fair value hierarchy. Additionally, there have been no changes to the valuation techniques for Level 2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Non-Marketable Investments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At September 30, 2026 and December 31, 2025, the carrying value of the Company’s non-marketable investments was $2.6 million and $3.2 million, respectively. The investments include an interest in a standalone real-time feedback company (see Note 2 - </w:t>
      </w:r>
      <w:r>
        <w:rPr>
          <w:rFonts w:ascii="Times New Roman" w:cs="Times New Roman" w:eastAsia="Times New Roman" w:hAnsi="Times New Roman"/>
          <w:sz w:val="18"/>
          <w:szCs w:val="18"/>
          <w:i w:val="1"/>
          <w:iCs w:val="1"/>
          <w:color w:val="auto"/>
        </w:rPr>
        <w:t>Divestiture</w:t>
      </w:r>
      <w:r>
        <w:rPr>
          <w:rFonts w:ascii="Times New Roman" w:cs="Times New Roman" w:eastAsia="Times New Roman" w:hAnsi="Times New Roman"/>
          <w:sz w:val="18"/>
          <w:szCs w:val="18"/>
          <w:color w:val="auto"/>
        </w:rPr>
        <w:t>) with a carrying value of $2.6 million at each period, and interests in technology-related private equity funds, which were fully liquidated as of September 30, 2026 and had a carrying value of $0.6 million at December 31, 2025. At September 30, 2026, the amount is included in other assets in the Consolidated Balance Sheet. At December 31, 2025, $0.6 million is included in prepaid expenses and other current assets and $2.6 million is included in other assets in the Consolidated Balance Sheet.</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Company’s investment at September 30, 2026 is being accounted for using the cost method and, accordingly, is valued at cost less impairments, if any. The Company’s prior investments in technology-related private equity funds were being accounted for using the equity method. Accordingly, the Company recorded its share of the investee’s operating results each period, which are included in loss on investments, net in the Consolidated Statement of Operations. </w:t>
      </w:r>
      <w:r>
        <w:rPr>
          <w:rFonts w:ascii="Times New Roman" w:cs="Times New Roman" w:eastAsia="Times New Roman" w:hAnsi="Times New Roman"/>
          <w:sz w:val="18"/>
          <w:szCs w:val="18"/>
          <w:color w:val="212529"/>
        </w:rPr>
        <w:t>Gains and losses from non-marketable investments were immaterial during the three and nine months ended September 30, 2026 and 2025.</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cumulative earnings approach to classify distributions received from equity method investments. During the nine months ended September 30, 2026, $0.5 million was distributed from the funds to the Company. During the nine months ended September 30, 2025, $1.4 million was distributed from the funds to the Company. These amounts are included within other investing activity in the Consolidated Statements of Cash Flows as they are considered a return on investment.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Forrester provides for income taxes on an interim basis according to management’s estimate of the effective tax rate expected to be applicable for the full fiscal year. Certain items such as changes in tax rates, tax benefits or expense related to settlements of share-based awards, tax effects of foreign currency gains or losses, and goodwill impairments are treated as discrete items and are recorded in the period in which they arise.</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Income tax benefit for the nine months ended September 30, 2026 was $2.3 million resulting in an effective tax rate of 17.6% for the period. Income tax expense for the nine months ended September 30, 2025 was $2.6 million resulting in an effective tax rate of (3.1)% for the period.</w:t>
      </w:r>
    </w:p>
    <w:p>
      <w:pPr>
        <w:spacing w:after="0" w:line="5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effective tax rate of 17.6% for the nine months ended September 30, 2026 differs from the statutory tax rate of 21% primarily due to the impact of nondeductible expenses on the forecasted effective tax rate offset by the impact of the non-deductible goodwill impairment, which is recorded as a discrete item during the period. The recognition of the $2.3 million tax benefit for the nine months ended September 30, 2026 resulted in an approximate $12.2 million tax asset (in prepaid and other current assets) and an approximate $8.6 million deferred tax liability (in other non-current liabilities) being recorded in the Consolidated Balance Sheets. The Company is forecasting tax expense to be recorded in the remaining three months of the year which is expected to significantly reduce these balances by December 31, 2026.</w:t>
      </w:r>
    </w:p>
    <w:p>
      <w:pPr>
        <w:spacing w:after="0" w:line="79" w:lineRule="exact"/>
        <w:rPr>
          <w:sz w:val="20"/>
          <w:szCs w:val="20"/>
          <w:color w:val="auto"/>
        </w:rPr>
      </w:pPr>
    </w:p>
    <w:p>
      <w:pPr>
        <w:jc w:val="both"/>
        <w:ind w:right="200" w:firstLine="509"/>
        <w:spacing w:after="0" w:line="312" w:lineRule="auto"/>
        <w:rPr>
          <w:sz w:val="20"/>
          <w:szCs w:val="20"/>
          <w:color w:val="auto"/>
        </w:rPr>
      </w:pPr>
      <w:r>
        <w:rPr>
          <w:rFonts w:ascii="Times New Roman" w:cs="Times New Roman" w:eastAsia="Times New Roman" w:hAnsi="Times New Roman"/>
          <w:sz w:val="17"/>
          <w:szCs w:val="17"/>
          <w:color w:val="auto"/>
        </w:rPr>
        <w:t>On July 4th, 2025, the One Big Beautiful Bill Act (“OBBBA”) was enacted, introducing changes to U.S. tax law. The effects of the OBBBA have been incorporated into the Company's estimated annual effective tax rate for the nine months ended September 30, 2026 and the impact was not material.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Accumulated Other Comprehensive Loss (“AOCL”)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are as follows (net of tax,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 AOCL</w:t>
            </w:r>
          </w:p>
        </w:tc>
        <w:tc>
          <w:tcPr>
            <w:tcW w:w="28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8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8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(2,997)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currency translation (1)</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loss, net of tax of $27</w:t>
            </w:r>
          </w:p>
        </w:tc>
        <w:tc>
          <w:tcPr>
            <w:tcW w:w="1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 AOCL</w:t>
            </w:r>
          </w:p>
        </w:tc>
        <w:tc>
          <w:tcPr>
            <w:tcW w:w="28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8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8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currency translation (1)</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gain, net of tax of $(7)</w:t>
            </w:r>
          </w:p>
        </w:tc>
        <w:tc>
          <w:tcPr>
            <w:tcW w:w="16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 AOCL</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96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right w:val="single" w:sz="8" w:color="CFF0FC"/>
            </w:tcBorders>
            <w:shd w:val="clear" w:color="auto" w:fill="CFF0FC"/>
          </w:tcPr>
          <w:p>
            <w:pPr>
              <w:spacing w:after="0"/>
              <w:rPr>
                <w:sz w:val="18"/>
                <w:szCs w:val="18"/>
                <w:color w:val="auto"/>
              </w:rPr>
            </w:pP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(1,153)</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16"/>
        </w:trPr>
        <w:tc>
          <w:tcPr>
            <w:tcW w:w="4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currency translation (1)</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loss, net of tax of $56</w:t>
            </w:r>
          </w:p>
        </w:tc>
        <w:tc>
          <w:tcPr>
            <w:tcW w:w="1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418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760" w:type="dxa"/>
            <w:vAlign w:val="bottom"/>
            <w:gridSpan w:val="2"/>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(3,275)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(3,382)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 AOCL</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96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right w:val="single" w:sz="8" w:color="CFF0FC"/>
            </w:tcBorders>
            <w:shd w:val="clear" w:color="auto" w:fill="CFF0FC"/>
          </w:tcPr>
          <w:p>
            <w:pPr>
              <w:spacing w:after="0"/>
              <w:rPr>
                <w:sz w:val="18"/>
                <w:szCs w:val="18"/>
                <w:color w:val="auto"/>
              </w:rPr>
            </w:pP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(7,775)</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(7,746)</w:t>
            </w:r>
          </w:p>
        </w:tc>
        <w:tc>
          <w:tcPr>
            <w:tcW w:w="0" w:type="dxa"/>
            <w:vAlign w:val="bottom"/>
          </w:tcPr>
          <w:p>
            <w:pPr>
              <w:spacing w:after="0"/>
              <w:rPr>
                <w:sz w:val="1"/>
                <w:szCs w:val="1"/>
                <w:color w:val="auto"/>
              </w:rPr>
            </w:pPr>
          </w:p>
        </w:tc>
      </w:tr>
      <w:tr>
        <w:trPr>
          <w:trHeight w:val="216"/>
        </w:trPr>
        <w:tc>
          <w:tcPr>
            <w:tcW w:w="4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currency translation (1)</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gain, net of tax of $(9)</w:t>
            </w:r>
          </w:p>
        </w:tc>
        <w:tc>
          <w:tcPr>
            <w:tcW w:w="16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(1,230)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-2888615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-2888615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-2888615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-1962785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-1962785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-1962785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-1096645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-1096645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760" w:right="80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record tax provisions or benefits for the net changes in foreign currency translation adjustments as it intends to permanently reinvest undistributed earnings of its foreign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Net Loss Per Common Share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basic weighted average number of common shares outstanding during the period. Diluted net loss per common share is computed by dividing net loss by the diluted weighted average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ind w:right="440"/>
        <w:spacing w:after="0" w:line="266" w:lineRule="auto"/>
        <w:rPr>
          <w:sz w:val="20"/>
          <w:szCs w:val="20"/>
          <w:color w:val="auto"/>
        </w:rPr>
      </w:pPr>
      <w:r>
        <w:rPr>
          <w:rFonts w:ascii="Times New Roman" w:cs="Times New Roman" w:eastAsia="Times New Roman" w:hAnsi="Times New Roman"/>
          <w:sz w:val="18"/>
          <w:szCs w:val="18"/>
          <w:color w:val="auto"/>
        </w:rPr>
        <w:t>number of common shares and common equivalent shares outstanding during the period. The weighted average number of common equivalent shares outstanding has been determined in accordance with the treasury-stock method. Common equivalent shares consist of common stock issuable on the exercise of outstanding stock options and the vesting of restricted stock units.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weighted average common shares are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6"/>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19,130</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common equivalent shares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19,113</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19,130</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4120" w:type="dxa"/>
            <w:vAlign w:val="bottom"/>
            <w:gridSpan w:val="3"/>
          </w:tcPr>
          <w:p>
            <w:pPr>
              <w:spacing w:after="0" w:line="178" w:lineRule="exact"/>
              <w:rPr>
                <w:sz w:val="20"/>
                <w:szCs w:val="20"/>
                <w:color w:val="auto"/>
              </w:rPr>
            </w:pPr>
            <w:r>
              <w:rPr>
                <w:rFonts w:ascii="Times New Roman" w:cs="Times New Roman" w:eastAsia="Times New Roman" w:hAnsi="Times New Roman"/>
                <w:sz w:val="18"/>
                <w:szCs w:val="18"/>
                <w:color w:val="auto"/>
              </w:rPr>
              <w:t>Options and restricted stock units excluded from diluted</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9"/>
              </w:rPr>
              <w:t>weighted average share calculation as effect would have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2,524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0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been anti-dilutive</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Stockholders’ Equity</w:t>
            </w: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The components of stockholders’ equity are as follows (in thousands):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8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1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620" w:type="dxa"/>
            <w:vAlign w:val="bottom"/>
            <w:gridSpan w:val="4"/>
          </w:tcPr>
          <w:p>
            <w:pPr>
              <w:jc w:val="right"/>
              <w:ind w:right="302"/>
              <w:spacing w:after="0" w:line="14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7"/>
          </w:tcPr>
          <w:p>
            <w:pPr>
              <w:jc w:val="right"/>
              <w:ind w:right="600"/>
              <w:spacing w:after="0" w:line="142" w:lineRule="exact"/>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08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280"/>
              <w:spacing w:after="0" w:line="126" w:lineRule="exact"/>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62"/>
              <w:spacing w:after="0" w:line="12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Borders>
              <w:top w:val="single" w:sz="8" w:color="auto"/>
            </w:tcBorders>
            <w:gridSpan w:val="2"/>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Number</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of</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0.01Par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6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June 30, 2026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25,949</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309,125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46,002</w:t>
            </w:r>
          </w:p>
        </w:tc>
        <w:tc>
          <w:tcPr>
            <w:tcW w:w="260" w:type="dxa"/>
            <w:vAlign w:val="bottom"/>
            <w:tcBorders>
              <w:right w:val="single" w:sz="8" w:color="CFF0FC"/>
            </w:tcBorders>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(230,722)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(3,024)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121,640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plans, including tax effects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tcBorders>
              <w:right w:val="single" w:sz="8" w:color="CFF0FC"/>
            </w:tcBorders>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(10,376)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(10,376)</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9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tcBorders>
              <w:right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6"/>
                <w:szCs w:val="16"/>
                <w:color w:val="auto"/>
              </w:rPr>
              <w:t>(4,421)</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(4,421)</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marketable investments,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30, 2026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26,094</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41,581</w:t>
            </w:r>
          </w:p>
        </w:tc>
        <w:tc>
          <w:tcPr>
            <w:tcW w:w="2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7,588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(241,098)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(3,382)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620" w:type="dxa"/>
            <w:vAlign w:val="bottom"/>
            <w:gridSpan w:val="4"/>
          </w:tcPr>
          <w:p>
            <w:pPr>
              <w:jc w:val="right"/>
              <w:ind w:right="302"/>
              <w:spacing w:after="0" w:line="14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7"/>
          </w:tcPr>
          <w:p>
            <w:pPr>
              <w:jc w:val="right"/>
              <w:ind w:right="600"/>
              <w:spacing w:after="0" w:line="142" w:lineRule="exact"/>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08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280"/>
              <w:spacing w:after="0" w:line="126" w:lineRule="exact"/>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62"/>
              <w:spacing w:after="0" w:line="12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Borders>
              <w:top w:val="single" w:sz="8" w:color="auto"/>
            </w:tcBorders>
            <w:gridSpan w:val="2"/>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Number</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of</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0.01Par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6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25,361</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298,129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88,575</w:t>
            </w:r>
          </w:p>
        </w:tc>
        <w:tc>
          <w:tcPr>
            <w:tcW w:w="260" w:type="dxa"/>
            <w:vAlign w:val="bottom"/>
            <w:tcBorders>
              <w:right w:val="single" w:sz="8" w:color="CFF0FC"/>
            </w:tcBorders>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6,282</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(227,119)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(300)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159,539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plans, including tax effects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tcBorders>
              <w:right w:val="single" w:sz="8" w:color="CFF0FC"/>
            </w:tcBorders>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(2,496)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(2,496)</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9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tcBorders>
              <w:right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6"/>
                <w:szCs w:val="16"/>
                <w:color w:val="auto"/>
              </w:rPr>
              <w:t>(2,126)</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(2,126)</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marketable investments,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(893)</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(893)</w:t>
            </w: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25,511</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86,449</w:t>
            </w:r>
          </w:p>
        </w:tc>
        <w:tc>
          <w:tcPr>
            <w:tcW w:w="2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6,522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(229,615)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-5691505</wp:posOffset>
            </wp:positionV>
            <wp:extent cx="77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-5674360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-5691505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-5674360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-5691505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-5674360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-5691505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-5674360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-3042285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-3042285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-3042285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-3042285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-3042285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-3042285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-3042285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-1087755</wp:posOffset>
            </wp:positionV>
            <wp:extent cx="76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-1087755</wp:posOffset>
            </wp:positionV>
            <wp:extent cx="77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-1087755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-1087755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-1087755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-1087755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-1087755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5"/>
        </w:trPr>
        <w:tc>
          <w:tcPr>
            <w:tcW w:w="30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Nine Months Ended September 30, 2026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080" w:type="dxa"/>
            <w:vAlign w:val="bottom"/>
          </w:tcPr>
          <w:p>
            <w:pPr>
              <w:spacing w:after="0"/>
              <w:rPr>
                <w:sz w:val="12"/>
                <w:szCs w:val="12"/>
                <w:color w:val="auto"/>
              </w:rPr>
            </w:pPr>
          </w:p>
        </w:tc>
        <w:tc>
          <w:tcPr>
            <w:tcW w:w="1620" w:type="dxa"/>
            <w:vAlign w:val="bottom"/>
            <w:gridSpan w:val="4"/>
          </w:tcPr>
          <w:p>
            <w:pPr>
              <w:jc w:val="right"/>
              <w:ind w:right="303"/>
              <w:spacing w:after="0" w:line="14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5"/>
          </w:tcPr>
          <w:p>
            <w:pPr>
              <w:jc w:val="right"/>
              <w:ind w:right="600"/>
              <w:spacing w:after="0" w:line="142" w:lineRule="exact"/>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080" w:type="dxa"/>
            <w:vAlign w:val="bottom"/>
          </w:tcPr>
          <w:p>
            <w:pPr>
              <w:spacing w:after="0"/>
              <w:rPr>
                <w:sz w:val="10"/>
                <w:szCs w:val="10"/>
                <w:color w:val="auto"/>
              </w:rPr>
            </w:pPr>
          </w:p>
        </w:tc>
        <w:tc>
          <w:tcPr>
            <w:tcW w:w="7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ind w:right="63"/>
              <w:spacing w:after="0" w:line="126" w:lineRule="exact"/>
              <w:rPr>
                <w:sz w:val="20"/>
                <w:szCs w:val="20"/>
                <w:color w:val="auto"/>
              </w:rPr>
            </w:pPr>
            <w:r>
              <w:rPr>
                <w:rFonts w:ascii="Times New Roman" w:cs="Times New Roman" w:eastAsia="Times New Roman" w:hAnsi="Times New Roman"/>
                <w:sz w:val="13"/>
                <w:szCs w:val="13"/>
                <w:b w:val="1"/>
                <w:bCs w:val="1"/>
                <w:color w:val="auto"/>
              </w:rPr>
              <w:t>$0.01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Number</w:t>
            </w: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48"/>
        </w:trPr>
        <w:tc>
          <w:tcPr>
            <w:tcW w:w="30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of</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65"/>
        </w:trPr>
        <w:tc>
          <w:tcPr>
            <w:tcW w:w="30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r>
      <w:tr>
        <w:trPr>
          <w:trHeight w:val="19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25,535</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304,404</w:t>
            </w: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52,574</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6,522</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(229,615)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(1,093)</w:t>
            </w:r>
          </w:p>
        </w:tc>
        <w:tc>
          <w:tcPr>
            <w:tcW w:w="2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126,525</w:t>
            </w:r>
          </w:p>
        </w:tc>
        <w:tc>
          <w:tcPr>
            <w:tcW w:w="100" w:type="dxa"/>
            <w:vAlign w:val="bottom"/>
            <w:shd w:val="clear" w:color="auto" w:fill="CFF0FC"/>
          </w:tcPr>
          <w:p>
            <w:pPr>
              <w:spacing w:after="0"/>
              <w:rPr>
                <w:sz w:val="17"/>
                <w:szCs w:val="17"/>
                <w:color w:val="auto"/>
              </w:rPr>
            </w:pPr>
          </w:p>
        </w:tc>
      </w:tr>
      <w:tr>
        <w:trPr>
          <w:trHeight w:val="189"/>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plans, including tax effects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(195)</w:t>
            </w:r>
          </w:p>
        </w:tc>
      </w:tr>
      <w:tr>
        <w:trPr>
          <w:trHeight w:val="205"/>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(11,483)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(11,483)</w:t>
            </w: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100" w:type="dxa"/>
            <w:vAlign w:val="bottom"/>
          </w:tcPr>
          <w:p>
            <w:pPr>
              <w:spacing w:after="0"/>
              <w:rPr>
                <w:sz w:val="17"/>
                <w:szCs w:val="17"/>
                <w:color w:val="auto"/>
              </w:rPr>
            </w:pPr>
          </w:p>
        </w:tc>
      </w:tr>
      <w:tr>
        <w:trPr>
          <w:trHeight w:val="20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(10,993)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(10,993)</w:t>
            </w:r>
          </w:p>
        </w:tc>
      </w:tr>
      <w:tr>
        <w:trPr>
          <w:trHeight w:val="189"/>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marketable investments,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w:t>
            </w:r>
          </w:p>
        </w:tc>
      </w:tr>
      <w:tr>
        <w:trPr>
          <w:trHeight w:val="205"/>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(2,122)</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(2,122)</w:t>
            </w:r>
          </w:p>
        </w:tc>
      </w:tr>
      <w:tr>
        <w:trPr>
          <w:trHeight w:val="20"/>
        </w:trPr>
        <w:tc>
          <w:tcPr>
            <w:tcW w:w="30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30, 2026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311,792</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41,581</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(241,098)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(3,382)</w:t>
            </w:r>
          </w:p>
        </w:tc>
        <w:tc>
          <w:tcPr>
            <w:tcW w:w="260" w:type="dxa"/>
            <w:vAlign w:val="bottom"/>
            <w:gridSpan w:val="2"/>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109,154</w:t>
            </w:r>
          </w:p>
        </w:tc>
        <w:tc>
          <w:tcPr>
            <w:tcW w:w="100" w:type="dxa"/>
            <w:vAlign w:val="bottom"/>
          </w:tcPr>
          <w:p>
            <w:pPr>
              <w:spacing w:after="0"/>
              <w:rPr>
                <w:sz w:val="17"/>
                <w:szCs w:val="17"/>
                <w:color w:val="auto"/>
              </w:rPr>
            </w:pPr>
          </w:p>
        </w:tc>
      </w:tr>
      <w:tr>
        <w:trPr>
          <w:trHeight w:val="20"/>
        </w:trPr>
        <w:tc>
          <w:tcPr>
            <w:tcW w:w="3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0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9"/>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080" w:type="dxa"/>
            <w:vAlign w:val="bottom"/>
          </w:tcPr>
          <w:p>
            <w:pPr>
              <w:spacing w:after="0"/>
              <w:rPr>
                <w:sz w:val="12"/>
                <w:szCs w:val="12"/>
                <w:color w:val="auto"/>
              </w:rPr>
            </w:pPr>
          </w:p>
        </w:tc>
        <w:tc>
          <w:tcPr>
            <w:tcW w:w="1620" w:type="dxa"/>
            <w:vAlign w:val="bottom"/>
            <w:gridSpan w:val="4"/>
          </w:tcPr>
          <w:p>
            <w:pPr>
              <w:jc w:val="right"/>
              <w:ind w:right="303"/>
              <w:spacing w:after="0" w:line="14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5"/>
          </w:tcPr>
          <w:p>
            <w:pPr>
              <w:jc w:val="right"/>
              <w:ind w:right="600"/>
              <w:spacing w:after="0" w:line="142" w:lineRule="exact"/>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080" w:type="dxa"/>
            <w:vAlign w:val="bottom"/>
          </w:tcPr>
          <w:p>
            <w:pPr>
              <w:spacing w:after="0"/>
              <w:rPr>
                <w:sz w:val="10"/>
                <w:szCs w:val="10"/>
                <w:color w:val="auto"/>
              </w:rPr>
            </w:pPr>
          </w:p>
        </w:tc>
        <w:tc>
          <w:tcPr>
            <w:tcW w:w="7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ind w:right="63"/>
              <w:spacing w:after="0" w:line="126" w:lineRule="exact"/>
              <w:rPr>
                <w:sz w:val="20"/>
                <w:szCs w:val="20"/>
                <w:color w:val="auto"/>
              </w:rPr>
            </w:pPr>
            <w:r>
              <w:rPr>
                <w:rFonts w:ascii="Times New Roman" w:cs="Times New Roman" w:eastAsia="Times New Roman" w:hAnsi="Times New Roman"/>
                <w:sz w:val="13"/>
                <w:szCs w:val="13"/>
                <w:b w:val="1"/>
                <w:bCs w:val="1"/>
                <w:color w:val="auto"/>
              </w:rPr>
              <w:t>$0.01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Number</w:t>
            </w: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48"/>
        </w:trPr>
        <w:tc>
          <w:tcPr>
            <w:tcW w:w="30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of</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65"/>
        </w:trPr>
        <w:tc>
          <w:tcPr>
            <w:tcW w:w="30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r>
      <w:tr>
        <w:trPr>
          <w:trHeight w:val="19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25,119</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292,217</w:t>
            </w: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171,934</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6,282</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(227,119)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(7,746)</w:t>
            </w:r>
          </w:p>
        </w:tc>
        <w:tc>
          <w:tcPr>
            <w:tcW w:w="2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229,537</w:t>
            </w:r>
          </w:p>
        </w:tc>
        <w:tc>
          <w:tcPr>
            <w:tcW w:w="100" w:type="dxa"/>
            <w:vAlign w:val="bottom"/>
            <w:shd w:val="clear" w:color="auto" w:fill="CFF0FC"/>
          </w:tcPr>
          <w:p>
            <w:pPr>
              <w:spacing w:after="0"/>
              <w:rPr>
                <w:sz w:val="17"/>
                <w:szCs w:val="17"/>
                <w:color w:val="auto"/>
              </w:rPr>
            </w:pPr>
          </w:p>
        </w:tc>
      </w:tr>
      <w:tr>
        <w:trPr>
          <w:trHeight w:val="189"/>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plans, including tax effects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r>
      <w:tr>
        <w:trPr>
          <w:trHeight w:val="20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(2,496)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(2,496)</w:t>
            </w: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100" w:type="dxa"/>
            <w:vAlign w:val="bottom"/>
          </w:tcPr>
          <w:p>
            <w:pPr>
              <w:spacing w:after="0"/>
              <w:rPr>
                <w:sz w:val="17"/>
                <w:szCs w:val="17"/>
                <w:color w:val="auto"/>
              </w:rPr>
            </w:pPr>
          </w:p>
        </w:tc>
      </w:tr>
      <w:tr>
        <w:trPr>
          <w:trHeight w:val="20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(85,485)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(85,485)</w:t>
            </w:r>
          </w:p>
        </w:tc>
      </w:tr>
      <w:tr>
        <w:trPr>
          <w:trHeight w:val="189"/>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marketable investments,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r>
      <w:tr>
        <w:trPr>
          <w:trHeight w:val="205"/>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6,545</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25,511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301,755</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86,449</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(229,615)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(1,172)</w:t>
            </w:r>
          </w:p>
        </w:tc>
        <w:tc>
          <w:tcPr>
            <w:tcW w:w="260" w:type="dxa"/>
            <w:vAlign w:val="bottom"/>
            <w:gridSpan w:val="2"/>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157,672</w:t>
            </w:r>
          </w:p>
        </w:tc>
        <w:tc>
          <w:tcPr>
            <w:tcW w:w="100" w:type="dxa"/>
            <w:vAlign w:val="bottom"/>
          </w:tcPr>
          <w:p>
            <w:pPr>
              <w:spacing w:after="0"/>
              <w:rPr>
                <w:sz w:val="17"/>
                <w:szCs w:val="17"/>
                <w:color w:val="auto"/>
              </w:rPr>
            </w:pPr>
          </w:p>
        </w:tc>
      </w:tr>
      <w:tr>
        <w:trPr>
          <w:trHeight w:val="20"/>
        </w:trPr>
        <w:tc>
          <w:tcPr>
            <w:tcW w:w="3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-2117090</wp:posOffset>
            </wp:positionV>
            <wp:extent cx="768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-2117090</wp:posOffset>
            </wp:positionV>
            <wp:extent cx="774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-2117090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-2117090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-2117090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-2117090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-2117090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-162560</wp:posOffset>
            </wp:positionV>
            <wp:extent cx="768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-162560</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-162560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-162560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-162560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-162560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-162560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Equity Plans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stock unit activity for the nine months ended September 30, 2026 is presented below (in thousands, except per share data):</w:t>
      </w:r>
    </w:p>
    <w:p>
      <w:pPr>
        <w:spacing w:after="0" w:line="9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1,884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736</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2026</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1,871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431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431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for the nine months ended September 30, 2026 is presented below (in thousands, except per share data and contractual term):</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2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2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0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September 30, 2026</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21.52</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7.43</w:t>
            </w:r>
          </w:p>
        </w:tc>
        <w:tc>
          <w:tcPr>
            <w:tcW w:w="3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September 30, 2026</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320</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15.52</w:t>
            </w:r>
          </w:p>
        </w:tc>
        <w:tc>
          <w:tcPr>
            <w:tcW w:w="1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7.96</w:t>
            </w:r>
          </w:p>
        </w:tc>
        <w:tc>
          <w:tcPr>
            <w:tcW w:w="3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-351155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-333375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-351155</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-333375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-351155</wp:posOffset>
            </wp:positionV>
            <wp:extent cx="596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-333375</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-351155</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-25400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596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596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stock options were granted or exercised during the three and nine months ended September 30, 2026.</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6" w:name="page17"/>
    <w:bookmarkEnd w:id="16"/>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May 2026, the stockholders of the Company approved an amendment to the Company’s Third Amended and Restated Employee Stock Purchase Plan, which provided for an additional 450,000 shares of Common Stock, par value $0.01 per share, to be granted under the plan.</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Forrester recognizes the fair value of stock-based compensation over the requisite service period of the individual grantee, which generally equals the vesting period. Stock-based compensation was recorded in the following expense categories in the Consolidated Statements of Operations (in thousands):</w:t>
      </w:r>
    </w:p>
    <w:p>
      <w:pPr>
        <w:spacing w:after="0" w:line="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services and fulfillment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3"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Forrester utilizes the Black-Scholes valuation model for estimating the fair value of options granted under the equity incentive plans and shares subject to purchase under the employee stock purchase plan, which were valued using the following assumptions:</w:t>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17"/>
        </w:trPr>
        <w:tc>
          <w:tcPr>
            <w:tcW w:w="3180" w:type="dxa"/>
            <w:vAlign w:val="bottom"/>
          </w:tcPr>
          <w:p>
            <w:pPr>
              <w:spacing w:after="0"/>
              <w:rPr>
                <w:sz w:val="10"/>
                <w:szCs w:val="10"/>
                <w:color w:val="auto"/>
              </w:rPr>
            </w:pPr>
          </w:p>
        </w:tc>
        <w:tc>
          <w:tcPr>
            <w:tcW w:w="11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Employee Stock</w:t>
            </w:r>
          </w:p>
        </w:tc>
        <w:tc>
          <w:tcPr>
            <w:tcW w:w="300" w:type="dxa"/>
            <w:vAlign w:val="bottom"/>
          </w:tcPr>
          <w:p>
            <w:pPr>
              <w:spacing w:after="0"/>
              <w:rPr>
                <w:sz w:val="10"/>
                <w:szCs w:val="10"/>
                <w:color w:val="auto"/>
              </w:rPr>
            </w:pPr>
          </w:p>
        </w:tc>
        <w:tc>
          <w:tcPr>
            <w:tcW w:w="11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Employee Stock</w:t>
            </w:r>
          </w:p>
        </w:tc>
        <w:tc>
          <w:tcPr>
            <w:tcW w:w="280" w:type="dxa"/>
            <w:vAlign w:val="bottom"/>
          </w:tcPr>
          <w:p>
            <w:pPr>
              <w:spacing w:after="0"/>
              <w:rPr>
                <w:sz w:val="10"/>
                <w:szCs w:val="10"/>
                <w:color w:val="auto"/>
              </w:rPr>
            </w:pPr>
          </w:p>
        </w:tc>
        <w:tc>
          <w:tcPr>
            <w:tcW w:w="11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Employee Stock</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Employee Stock</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Equity Incentive</w:t>
            </w:r>
          </w:p>
        </w:tc>
        <w:tc>
          <w:tcPr>
            <w:tcW w:w="180" w:type="dxa"/>
            <w:vAlign w:val="bottom"/>
          </w:tcPr>
          <w:p>
            <w:pPr>
              <w:spacing w:after="0"/>
              <w:rPr>
                <w:sz w:val="10"/>
                <w:szCs w:val="10"/>
                <w:color w:val="auto"/>
              </w:rPr>
            </w:pPr>
          </w:p>
        </w:tc>
      </w:tr>
      <w:tr>
        <w:trPr>
          <w:trHeight w:val="173"/>
        </w:trPr>
        <w:tc>
          <w:tcPr>
            <w:tcW w:w="3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Purchase Plan</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Purchase Plan</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Purchase Plan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Purchase Plan</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80" w:type="dxa"/>
            <w:vAlign w:val="bottom"/>
          </w:tcPr>
          <w:p>
            <w:pPr>
              <w:spacing w:after="0"/>
              <w:rPr>
                <w:sz w:val="15"/>
                <w:szCs w:val="15"/>
                <w:color w:val="auto"/>
              </w:rPr>
            </w:pPr>
          </w:p>
        </w:tc>
      </w:tr>
      <w:tr>
        <w:trPr>
          <w:trHeight w:val="210"/>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0.5 Years</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0.5 Years</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0.5 Years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0.5 Years</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4.50 Years</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shd w:val="clear" w:color="auto" w:fill="CFF0FC"/>
          </w:tcPr>
          <w:p>
            <w:pPr>
              <w:spacing w:after="0"/>
              <w:rPr>
                <w:sz w:val="18"/>
                <w:szCs w:val="18"/>
                <w:color w:val="auto"/>
              </w:rPr>
            </w:pPr>
          </w:p>
        </w:tc>
      </w:tr>
    </w:tbl>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Liability-Classified Awards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During 2025 and 2026, the Company granted stock awards that are being accounted for as liability awards, such that the fair value of the awards are determined on a quarterly basis beginning at the grant date until final vesting. The fair value of liability-classified awards are recorded in accrued expenses and other current liabilities. During the three and nine months ended September 30, 2026, the Company recorded $0.1 million and $0.6 million, respectively, of stock-based compensation expense related to these awards. During the three months ended September 30, 2025, the Company recorded an immaterial amount related to these awards. During the nine months ended September 30, 2025, the Company recorded $0.3 million of stock-based compensation expense related to these awards.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2026, Forrester’s Board of Directors had authorized an aggregate $610.0 million to purchase common stock under its stock repurchase program. The shares repurchased may be used, among other things, in connection with Forrester’s equity incentive and purchase plans. During the three and nine months ended September 30, 2026, the Company repurchased approximately 0.9 million shares and 1.1 million shares of common stock at an aggregate cost of approximately $10.4 million and $11.5 million, respectively. During the three and nine months ended September 30, 2025, the Company repurchased approximately 0.2 million shares of common stock at an aggregate cost of approximately $2.5 million. From the inception of the program through September 30, 2026, the Company repurchased 19.3 million shares of common stock at an aggregate cost of $544.0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Restructuring Costs (Credits)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January 2025, the Company implemented a reduction in its workforce of approximately 6% across various geographies and functions to better align its cost structure with the revenue outlook for the year. The Company recorded $4.2 million of severance and related costs for this action during the fourth quarter of 2024 and $1.8 million during 2025. All costs had been paid as of March 31, 2026.</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7" w:name="page18"/>
    <w:bookmarkEnd w:id="17"/>
    <w:p>
      <w:pPr>
        <w:ind w:firstLine="509"/>
        <w:spacing w:after="0" w:line="254" w:lineRule="auto"/>
        <w:rPr>
          <w:sz w:val="20"/>
          <w:szCs w:val="20"/>
          <w:color w:val="auto"/>
        </w:rPr>
      </w:pPr>
      <w:r>
        <w:rPr>
          <w:rFonts w:ascii="Times New Roman" w:cs="Times New Roman" w:eastAsia="Times New Roman" w:hAnsi="Times New Roman"/>
          <w:sz w:val="18"/>
          <w:szCs w:val="18"/>
          <w:color w:val="auto"/>
        </w:rPr>
        <w:t>In February 2026, the Company implemented a reduction in its workforce of approximately 8% across various geographies and functions to better align its cost structure with the revenue outlook for the year. The Company recorded $8.8 million of severance and related costs for this action during the fourth quarter of 2025, $1.2 million during the first quarter of 2026, and $2.0 million during the second quarter of 2026. During the third quarter of 2026, the Company recorded a reversal of severance and related costs of $0.6 million to reflect changes to the cost expectations regarding the reduction in the workforce. In addition, the Company incurred approximately $1.1 million for contract termination costs during the fourth quarter of 2025, $0.6 million during the first quarter of 2026, and $0.1 million during the third quarter of 2026. The Company also approved plans to close certain of its smaller offices both inside and outside the United States, resulting in a non-cash charge of $0.4 million for accelerated ROU asset amortization in the first quarter of 2026. The Company expects the majority of the accrued restructuring and related costs as of September 30, 2026 to be paid by the end of the first quarter of 2027.</w:t>
      </w:r>
    </w:p>
    <w:p>
      <w:pPr>
        <w:spacing w:after="0" w:line="8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rolls forward the activity in the restructuring accrual for the February 2026 action for the nine months ended September 30, 2026 (in thousands):</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 at December 31, 2025</w:t>
            </w:r>
          </w:p>
        </w:tc>
        <w:tc>
          <w:tcPr>
            <w:tcW w:w="76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8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restructuring and related costs</w:t>
            </w:r>
          </w:p>
        </w:tc>
        <w:tc>
          <w:tcPr>
            <w:tcW w:w="7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80" w:type="dxa"/>
            <w:vAlign w:val="bottom"/>
          </w:tcPr>
          <w:p>
            <w:pPr>
              <w:spacing w:after="0"/>
              <w:rPr>
                <w:sz w:val="18"/>
                <w:szCs w:val="18"/>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charge (included above)</w:t>
            </w:r>
          </w:p>
        </w:tc>
        <w:tc>
          <w:tcPr>
            <w:tcW w:w="7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7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(8,728)</w:t>
            </w: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effect</w:t>
            </w:r>
          </w:p>
        </w:tc>
        <w:tc>
          <w:tcPr>
            <w:tcW w:w="7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209"/>
        </w:trPr>
        <w:tc>
          <w:tcPr>
            <w:tcW w:w="6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Accrual at September 30, 2026</w:t>
            </w:r>
          </w:p>
        </w:tc>
        <w:tc>
          <w:tcPr>
            <w:tcW w:w="76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80" w:type="dxa"/>
            <w:vAlign w:val="bottom"/>
            <w:tcBorders>
              <w:top w:val="single" w:sz="8" w:color="CFF0FC"/>
            </w:tcBorders>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Operating Segments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decision-maker is the chief executive officer and the chief financial officer. The Company operates in three segments: Research, Consulting, and Events. These segments, which are also the Company's reportable segments, are based on the management structure of the Company and how the chief operating decision maker uses financial information to evaluate performance and determine how to allocate resources. The Company’s products and services are delivered through each segment as described below.</w:t>
      </w:r>
    </w:p>
    <w:p>
      <w:pPr>
        <w:spacing w:after="0" w:line="7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Research segment includes the revenues from all of the Company's research products as well as consulting revenues from advisory services (such as speeches and advisory days) delivered by the Company's research organization. Research segment costs include the cost of the organizations responsible for developing and delivering these products in addition to the costs of the product management organization responsible for product pricing and packaging, and the launch of new products.</w:t>
      </w:r>
    </w:p>
    <w:p>
      <w:pPr>
        <w:spacing w:after="0" w:line="7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Consulting segment includes the revenues and the related costs of the Company's project consulting organization. The project consulting organization delivers a majority of the Company's project consulting revenue.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Events segment includes the revenues and the costs of the organization responsible for developing and hosting the Company's events.</w:t>
      </w:r>
    </w:p>
    <w:p>
      <w:pPr>
        <w:spacing w:after="0" w:line="117"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 Company evaluates reportable segment performance and allocates resources based on segment operating income (loss). Segment expenses include the direct expenses of each segment organization and exclude selling and marketing expenses, general and administrative expenses, stock-based compensation expense, depreciation expense, adjustments to incentive bonus compensation from target amounts, amortization of intangible assets, goodwill impairment, restructuring costs (credits), interest expense, credit loss expense on note receivable, other income, and losses on investments. The accounting policies used by the segments are the same as those used in the consolidated financial statements. The Company does not review or evaluate assets as part of segment performance. Accordingly, the Company does not identify or allocate assets by reportable segment.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auto"/>
        </w:rPr>
        <w:t>The Company provides information by reportable segment in the tables below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4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Research Segment</w:t>
            </w:r>
          </w:p>
        </w:tc>
        <w:tc>
          <w:tcPr>
            <w:tcW w:w="160" w:type="dxa"/>
            <w:vAlign w:val="bottom"/>
          </w:tcPr>
          <w:p>
            <w:pPr>
              <w:spacing w:after="0"/>
              <w:rPr>
                <w:sz w:val="13"/>
                <w:szCs w:val="13"/>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80" w:type="dxa"/>
            <w:vAlign w:val="bottom"/>
          </w:tcPr>
          <w:p>
            <w:pPr>
              <w:spacing w:after="0"/>
              <w:rPr>
                <w:sz w:val="13"/>
                <w:szCs w:val="13"/>
                <w:color w:val="auto"/>
              </w:rPr>
            </w:pPr>
          </w:p>
        </w:tc>
        <w:tc>
          <w:tcPr>
            <w:tcW w:w="14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Events Segment</w:t>
            </w: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3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70,138</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revenues</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Events revenues</w:t>
            </w:r>
          </w:p>
        </w:tc>
        <w:tc>
          <w:tcPr>
            <w:tcW w:w="3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73,761</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Segment expenses (1):</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Compensation, benefits and related costs</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(22,032)</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(5,125)</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(1,198)</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(28,355)</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cost of events</w:t>
            </w:r>
          </w:p>
        </w:tc>
        <w:tc>
          <w:tcPr>
            <w:tcW w:w="3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(1,222)</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(1,006)</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Billable expenses</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tcPr>
          <w:p>
            <w:pPr>
              <w:spacing w:after="0"/>
              <w:rPr>
                <w:sz w:val="18"/>
                <w:szCs w:val="18"/>
                <w:color w:val="auto"/>
              </w:rPr>
            </w:pPr>
          </w:p>
        </w:tc>
        <w:tc>
          <w:tcPr>
            <w:tcW w:w="14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Travel and entertainment</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(578)</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segment expenses (2)</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(24,132)</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(6,844)</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(2,534)</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(33,510)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36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(1,309)</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Selling, marketing, administrative and other expenses</w:t>
            </w: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(48,673)</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credit</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and other income</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-2142490</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-2142490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-2142490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-1036320</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-1036320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-1036320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-744855</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-728345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-744855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-728345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-744855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-728345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380" w:right="340" w:hanging="372"/>
        <w:spacing w:after="0" w:line="261"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w:t>
      </w: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for each reportable segment includes office supplies, maintenance, and training expenses.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4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Research Segment</w:t>
            </w:r>
          </w:p>
        </w:tc>
        <w:tc>
          <w:tcPr>
            <w:tcW w:w="160" w:type="dxa"/>
            <w:vAlign w:val="bottom"/>
          </w:tcPr>
          <w:p>
            <w:pPr>
              <w:spacing w:after="0"/>
              <w:rPr>
                <w:sz w:val="13"/>
                <w:szCs w:val="13"/>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80" w:type="dxa"/>
            <w:vAlign w:val="bottom"/>
          </w:tcPr>
          <w:p>
            <w:pPr>
              <w:spacing w:after="0"/>
              <w:rPr>
                <w:sz w:val="13"/>
                <w:szCs w:val="13"/>
                <w:color w:val="auto"/>
              </w:rPr>
            </w:pPr>
          </w:p>
        </w:tc>
        <w:tc>
          <w:tcPr>
            <w:tcW w:w="14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Events Segment</w:t>
            </w: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3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revenues</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Events revenues</w:t>
            </w:r>
          </w:p>
        </w:tc>
        <w:tc>
          <w:tcPr>
            <w:tcW w:w="3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78,139</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Segment expenses (1):</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Compensation, benefits and related costs</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(23,230)</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(7,085)</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(1,262)</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(31,577)</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cost of events</w:t>
            </w:r>
          </w:p>
        </w:tc>
        <w:tc>
          <w:tcPr>
            <w:tcW w:w="3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Billable expenses</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tcPr>
          <w:p>
            <w:pPr>
              <w:spacing w:after="0"/>
              <w:rPr>
                <w:sz w:val="18"/>
                <w:szCs w:val="18"/>
                <w:color w:val="auto"/>
              </w:rPr>
            </w:pPr>
          </w:p>
        </w:tc>
        <w:tc>
          <w:tcPr>
            <w:tcW w:w="14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Travel and entertainment</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segment expenses (2)</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(25,221)</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(9,536)</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(1,683)</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(36,440)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36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52,918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Selling, marketing, administrative and other expenses</w:t>
            </w: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(51,292)</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credit</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credit loss expense and other income</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(6,146)</w:t>
            </w: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-2142490</wp:posOffset>
            </wp:positionV>
            <wp:extent cx="77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-2142490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-2142490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-1036320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-1036320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-1036320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-744855</wp:posOffset>
            </wp:positionV>
            <wp:extent cx="774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-727710</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-744855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-727710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-744855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-727710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80" w:right="340" w:hanging="372"/>
        <w:spacing w:after="0" w:line="261"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w:t>
      </w: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for each reportable segment includes office supplies, maintenance, and training expenses.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4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Research Segment</w:t>
            </w:r>
          </w:p>
        </w:tc>
        <w:tc>
          <w:tcPr>
            <w:tcW w:w="160" w:type="dxa"/>
            <w:vAlign w:val="bottom"/>
          </w:tcPr>
          <w:p>
            <w:pPr>
              <w:spacing w:after="0"/>
              <w:rPr>
                <w:sz w:val="13"/>
                <w:szCs w:val="13"/>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80" w:type="dxa"/>
            <w:vAlign w:val="bottom"/>
          </w:tcPr>
          <w:p>
            <w:pPr>
              <w:spacing w:after="0"/>
              <w:rPr>
                <w:sz w:val="13"/>
                <w:szCs w:val="13"/>
                <w:color w:val="auto"/>
              </w:rPr>
            </w:pPr>
          </w:p>
        </w:tc>
        <w:tc>
          <w:tcPr>
            <w:tcW w:w="14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Events Segment</w:t>
            </w: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3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208,736</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revenues</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39,160</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Events revenues</w:t>
            </w:r>
          </w:p>
        </w:tc>
        <w:tc>
          <w:tcPr>
            <w:tcW w:w="3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222,944</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39,160</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Segment expenses (1):</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Compensation, benefits and related costs</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(68,016)</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(18,144)</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(3,829)</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(89,989)</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cost of events</w:t>
            </w:r>
          </w:p>
        </w:tc>
        <w:tc>
          <w:tcPr>
            <w:tcW w:w="3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(8,310)</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(8,310)</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(5,038)</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(6,748)</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Billable expenses</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(3,745)</w:t>
            </w:r>
          </w:p>
        </w:tc>
        <w:tc>
          <w:tcPr>
            <w:tcW w:w="80" w:type="dxa"/>
            <w:vAlign w:val="bottom"/>
          </w:tcPr>
          <w:p>
            <w:pPr>
              <w:spacing w:after="0"/>
              <w:rPr>
                <w:sz w:val="18"/>
                <w:szCs w:val="18"/>
                <w:color w:val="auto"/>
              </w:rPr>
            </w:pPr>
          </w:p>
        </w:tc>
        <w:tc>
          <w:tcPr>
            <w:tcW w:w="14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Travel and entertainment</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(1,787)</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(2,303)</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(1,288)</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segment expenses (2)</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(76,442)</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(23,899)</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(12,465)</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(112,806)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36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146,502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15,261</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(2,775)</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Selling, marketing, administrative and other expenses</w:t>
            </w: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(151,122)</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(6,243)</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(3,674)</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credit loss expense, and other income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(13,342)</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-2279650</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-2279650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-2279650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-1173480</wp:posOffset>
            </wp:positionV>
            <wp:extent cx="77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-1173480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-1173480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-882650</wp:posOffset>
            </wp:positionV>
            <wp:extent cx="774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-864870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-882650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-864870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-882650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80" w:right="340" w:hanging="372"/>
        <w:spacing w:after="0" w:line="261"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w:t>
      </w: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for each reportable segment includes office supplies, maintenance, and training expenses.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4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Research Segment</w:t>
            </w:r>
          </w:p>
        </w:tc>
        <w:tc>
          <w:tcPr>
            <w:tcW w:w="160" w:type="dxa"/>
            <w:vAlign w:val="bottom"/>
          </w:tcPr>
          <w:p>
            <w:pPr>
              <w:spacing w:after="0"/>
              <w:rPr>
                <w:sz w:val="13"/>
                <w:szCs w:val="13"/>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80" w:type="dxa"/>
            <w:vAlign w:val="bottom"/>
          </w:tcPr>
          <w:p>
            <w:pPr>
              <w:spacing w:after="0"/>
              <w:rPr>
                <w:sz w:val="13"/>
                <w:szCs w:val="13"/>
                <w:color w:val="auto"/>
              </w:rPr>
            </w:pPr>
          </w:p>
        </w:tc>
        <w:tc>
          <w:tcPr>
            <w:tcW w:w="14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Events Segment</w:t>
            </w: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3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revenues</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Events revenues</w:t>
            </w:r>
          </w:p>
        </w:tc>
        <w:tc>
          <w:tcPr>
            <w:tcW w:w="3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235,326</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Segment expenses (1):</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Compensation, benefits and related costs</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(69,196)</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(21,248)</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(3,976)</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(94,420)</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cost of events</w:t>
            </w:r>
          </w:p>
        </w:tc>
        <w:tc>
          <w:tcPr>
            <w:tcW w:w="3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(9,378)</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(9,378)</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(5,398)</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(2,483)</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(7,909)</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Billable expenses</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(4,449)</w:t>
            </w:r>
          </w:p>
        </w:tc>
        <w:tc>
          <w:tcPr>
            <w:tcW w:w="80" w:type="dxa"/>
            <w:vAlign w:val="bottom"/>
          </w:tcPr>
          <w:p>
            <w:pPr>
              <w:spacing w:after="0"/>
              <w:rPr>
                <w:sz w:val="18"/>
                <w:szCs w:val="18"/>
                <w:color w:val="auto"/>
              </w:rPr>
            </w:pPr>
          </w:p>
        </w:tc>
        <w:tc>
          <w:tcPr>
            <w:tcW w:w="14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(4,769)</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Travel and entertainment</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(1,470)</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(1,060)</w:t>
            </w: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segment expenses (2)</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(77,539)</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(28,591)</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(13,560)</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(119,690)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36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157,787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21,479</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(3,126)</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Selling, marketing, administrative and other expenses</w:t>
            </w: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(159,885)</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(6,651)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(83,895)</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expense, credit loss expense, other income, and loss on</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(6,697)</w:t>
            </w: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(82,875)</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-2407920</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-2407920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-2407920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-1302385</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-1302385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-1302385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-1010920</wp:posOffset>
            </wp:positionV>
            <wp:extent cx="774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-993775</wp:posOffset>
            </wp:positionV>
            <wp:extent cx="774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-1010920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-993775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-1010920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-993775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380" w:right="340" w:hanging="372"/>
        <w:spacing w:after="0" w:line="261"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w:t>
      </w: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for each reportable segment includes office supplies, maintenance, and training expenses.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16 — Contingencies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civil and regulatory claims that arise in the ordinary course of its business activities. Regardless of the outcome, legal proceedings and claims can have a material adverse effect on the Company because of defense and settlement costs, diversion of management resources, and other factors. It is the Company's policy to record accruals for legal contingencies to the extent that it has concluded that it is probable that a liability has been incurred and the amount of the loss can be reasonably estimated, and to expense costs associated with loss contingencies, including any related legal fees, as they are incurred. The Company reviews its loss contingencies at least quarterly and adjusts its accruals and/or disclosures to reflect the impact of negotiations, settlements, rulings, advice of legal counsel, or other new information, as deemed necessary. Once established, a provision may change in the future due to new developments or changes in circumstances and could increase or decrease the Company’s earnings in the period that the changes are made. The Company currently has no material pending litigation.</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1" w:name="page22"/>
    <w:bookmarkEnd w:id="21"/>
    <w:p>
      <w:pPr>
        <w:ind w:right="11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Overview</w:t>
      </w: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Words such as “expects,” “believes,” “anticipates,” “intends,” “plans,” “estimates,” or similar expressions are intended to identify these forward-looking statements. Reference is made in particular to our statements about changing stakeholder expectations, product development, possible acquisitions, future dividends, future share repurchases, future growth rates, operating income and cash from operations, future tax rates, future remittance of unremitted earnings, future deferred revenue, future compliance with financial covenants under our credit facility, future interest expense, anticipated increases in, and productivity of, our sales force and headcount, the adequacy of our cash, and cash flows to satisfy our working capital and capital expenditures, the anticipated impact of accounting standards, ongoing renovations of our Cambridge, Massachusetts office space and anticipated capital expenditures, any future impairment charges we may incur, and anticipated future declines in consulting revenue. These statements are based on our current plans and expectations and involve risks and uncertainties. Important factors that could cause actual future activities and results to differ include, among others, our ability to retain and enrich subscriptions to, and licenses of, our Research products and services, our ability to fulfill existing or generate new consulting engagements and advisory services, any adverse economic conditions, including from trade policies and tariffs, that result in a reduction in technology spending or demand for our products and services, our international operations expose us to a variety of operational risks which could negatively impact us, our ability to offer new products and services, the use of Generative AI in our business and by our clients and competitors, our dependence on key personnel, our ability to attract and retain qualified professional staff, our ability to respond to business and economic conditions and market trends, our business with the U.S. Government, the impact of our outstanding debt, competition and industry consolidation, possible variations in our quarterly operating results, the actual cost of capital expenditures that we undertake, concentration of our stock ownership, the possibility of network disruptions and security breaches, our ability to enforce and protect our intellectual property rights, compliance with privacy laws, taxation risks, any weakness identified in our system of internal controls, and any future impairment charge we incur. These risks are described more completely in our Annual Report on Form 10-K for the year ended December 31, 2025 and in this Quarterly Report on Form 10-Q. We undertake no obligation to update publicly any forward-looking statements, whether as a result of new information, future events, or otherwise.</w:t>
      </w:r>
    </w:p>
    <w:p>
      <w:pPr>
        <w:spacing w:after="0" w:line="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derive revenues from subscriptions to our Research products and services, subscriptions to, and individual licenses of, electronic “reprints” of our Research, performing consulting projects and advisory services, and hosting events. We offer contracts for our products as either multi-year contracts or annual contracts, which are typically payable in advance on an annual basis. For certain contracts, we offer to invoice the contract price in multiple invoices throughout the year. Billings in excess of revenue recognized are recorded as deferred revenue. Subscription products are recognized as revenue over the term of the contract. Individual reprint licenses include an obligation to deliver a customer-selected research document and certain usage data provided through our platform, which represents two performance obligations. We recognize revenue for the performance obligation for the data portion of the reprint ratably over the license term. We recognize revenue for the performance obligation for the research document at the time of providing access to the document. Clients purchase consulting projects and advisory services independently and/or to supplement their access to our subscription-based products. Consulting project revenues, which are based upon fixed-fee agreements, are recognized as the services are provided. Advisory service revenues, such as speeches and advisory days, are recognized when the service is complete. Events revenues consist of ticket and sponsorship sales for a Forrester-hosted event, and revenue is recognized upon completion of each event.</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primary operating expenses consist of cost of services and fulfillment, selling and marketing expenses, and general and administrative expenses. Cost of services and fulfillment represents the costs associated with the production and delivery of our products and services, including salaries, bonuses, employee benefits, and stock-based compensation expense for all personnel that produce and deliver our products and services, including all associated editorial, travel, and support services. Selling and marketing expenses include salaries, sales commissions, bonuses, employee benefits, stock-based compensation expense, travel expenses, promotional costs, and other costs incurred in marketing and selling our products and services. General and administrative expenses include the costs of the technology, operations, finance, and human resources groups and our other administrative functions, including salaries, bonuses, employee benefits, and stock-based compensation expense. Overhead costs such as facilities, net of sublease income, and annual fees for cloud-based information technology systems are allocated to these categories according to the number of employees in each group.</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key metrics focus on our contract value ("CV") products. We are focusing on CV products as these products are our most profitable products and historically our contracts for CV products have renewed at high rates (as measured by our client retention and wallet retention metrics). Our CV products make up essentially all our research revenues, and research revenues as a percentage of total revenues increased from approximately 74% for the nine months ended September 30, 2025 to approximately 77% for the nine months ended September 30, 2026.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2" w:name="page23"/>
    <w:bookmarkEnd w:id="22"/>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calculate CV at the foreign currency rates used for internal planning purposes each year. For comparative purposes, we have recast historical CV and wallet retention at the planned 2026 foreign currency rates. We have included the recast metrics below for the nine months ended September 30, 2025, and we have also provided recast metrics dating back to the third quarter of 2024, on the investor relations section of our website.</w:t>
      </w:r>
    </w:p>
    <w:p>
      <w:pPr>
        <w:spacing w:after="0" w:line="6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Contract value, client retention, wallet retention, and number of clients are metrics that we believe are important to understanding our research business. We define these metrics as follows:</w:t>
      </w:r>
    </w:p>
    <w:p>
      <w:pPr>
        <w:spacing w:after="0" w:line="52" w:lineRule="exact"/>
        <w:rPr>
          <w:sz w:val="20"/>
          <w:szCs w:val="20"/>
          <w:color w:val="auto"/>
        </w:rPr>
      </w:pPr>
    </w:p>
    <w:p>
      <w:pPr>
        <w:ind w:left="1020" w:right="140" w:hanging="503"/>
        <w:spacing w:after="0" w:line="25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Contract value (CV) </w:t>
      </w:r>
      <w:r>
        <w:rPr>
          <w:rFonts w:ascii="Times New Roman" w:cs="Times New Roman" w:eastAsia="Times New Roman" w:hAnsi="Times New Roman"/>
          <w:sz w:val="18"/>
          <w:szCs w:val="18"/>
          <w:color w:val="auto"/>
        </w:rPr>
        <w:t>— is defined as the value attributable to all of our recurring research-related contracts. Contract value is calculated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annualized value of all contracts in effect at a specific point in time, without regard to how much revenue has already been recognized. Contract value primarily consists of subscription-based products for which revenue is recognized on a ratable basis, except for the entitlements embedded in our subscription products, such as event tickets and advisory sessions, for which the revenue is recognized when the item is delivered. Contract value also includes our reprint products, as these products are used throughout the year by our clients and are typically renewed.</w:t>
      </w:r>
    </w:p>
    <w:p>
      <w:pPr>
        <w:spacing w:after="0" w:line="74" w:lineRule="exact"/>
        <w:rPr>
          <w:rFonts w:ascii="Times New Roman" w:cs="Times New Roman" w:eastAsia="Times New Roman" w:hAnsi="Times New Roman"/>
          <w:sz w:val="18"/>
          <w:szCs w:val="18"/>
          <w:color w:val="auto"/>
        </w:rPr>
      </w:pPr>
    </w:p>
    <w:p>
      <w:pPr>
        <w:ind w:left="1020" w:right="60" w:hanging="503"/>
        <w:spacing w:after="0" w:line="28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Client retention </w:t>
      </w:r>
      <w:r>
        <w:rPr>
          <w:rFonts w:ascii="Times New Roman" w:cs="Times New Roman" w:eastAsia="Times New Roman" w:hAnsi="Times New Roman"/>
          <w:sz w:val="18"/>
          <w:szCs w:val="18"/>
          <w:color w:val="auto"/>
        </w:rPr>
        <w:t>— represents the percentage of client companies (defined as all clients that buy a CV product) at the prior year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that have active contracts at the current year measurement date.</w:t>
      </w:r>
    </w:p>
    <w:p>
      <w:pPr>
        <w:spacing w:after="0" w:line="50" w:lineRule="exact"/>
        <w:rPr>
          <w:rFonts w:ascii="Times New Roman" w:cs="Times New Roman" w:eastAsia="Times New Roman" w:hAnsi="Times New Roman"/>
          <w:sz w:val="18"/>
          <w:szCs w:val="18"/>
          <w:color w:val="auto"/>
        </w:rPr>
      </w:pPr>
    </w:p>
    <w:p>
      <w:pPr>
        <w:ind w:left="1020" w:right="340" w:hanging="503"/>
        <w:spacing w:after="0" w:line="26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Wallet retention — </w:t>
      </w:r>
      <w:r>
        <w:rPr>
          <w:rFonts w:ascii="Times New Roman" w:cs="Times New Roman" w:eastAsia="Times New Roman" w:hAnsi="Times New Roman"/>
          <w:sz w:val="18"/>
          <w:szCs w:val="18"/>
          <w:color w:val="auto"/>
        </w:rPr>
        <w:t>represents a measure of the CV we have retained with clients over a twelve-month period, including increases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decreases in retained client CV during the period. Wallet retention is calculated on a percentage basis by dividing the annualized contract value of our current clients, who were also clients a year ago, by the total annualized contract value from a year ago.</w:t>
      </w:r>
    </w:p>
    <w:p>
      <w:pPr>
        <w:spacing w:after="0" w:line="6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Clients </w:t>
      </w:r>
      <w:r>
        <w:rPr>
          <w:rFonts w:ascii="Times New Roman" w:cs="Times New Roman" w:eastAsia="Times New Roman" w:hAnsi="Times New Roman"/>
          <w:sz w:val="18"/>
          <w:szCs w:val="18"/>
          <w:color w:val="auto"/>
        </w:rPr>
        <w:t>— is calculated at the enterprise level as all clients that have an active CV contract.</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Client retention and wallet retention are not necessarily indicative of the rate of future retention of our revenue base. A summary of our key metrics is as follows (dollars in millions):</w:t>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4"/>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2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2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40" w:type="dxa"/>
            <w:vAlign w:val="bottom"/>
          </w:tcPr>
          <w:p>
            <w:pPr>
              <w:spacing w:after="0"/>
              <w:rPr>
                <w:sz w:val="12"/>
                <w:szCs w:val="12"/>
                <w:color w:val="auto"/>
              </w:rPr>
            </w:pPr>
          </w:p>
        </w:tc>
      </w:tr>
      <w:tr>
        <w:trPr>
          <w:trHeight w:val="21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value</w:t>
            </w: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2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Client retention</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points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Wallet retention</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 points</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Number of clients</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bl>
    <w:p>
      <w:pPr>
        <w:spacing w:after="0" w:line="7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Contract value at September 30, 2026 decreased by 4% compared to the prior year period due to wallet retention, which represents retention and enrichment of the prior year CV base, being at 89% for the period. New client acquisition contributed approximately 8 percentage points of new CV during the period. Client retention increased by 4 percentage points at September 30, 2026 compared to the prior year period, and increased 1 percentage point compared to the prior quarter. The increase in client retention compared to prior year period was primarily due to our ongoing retention initiatives and to the launch of our AI Access product in the third quarter of 2025. Wallet retention increased by 3 percentage points at September 30, 2026 compared to the prior year period, and was consistent compared to the prior quarter. The increase in wallet retention compared to the prior year period was primarily due to improved client retention.</w:t>
      </w:r>
    </w:p>
    <w:p>
      <w:pPr>
        <w:spacing w:after="0" w:line="8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consolidated financial statements, which have been prepared in accordance with generally accepted accounting principles in the United States of America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but not limited to, those related to our revenue recognition, credit losses on the note receivable, and goodwill. Management bases its estimates on historical experience, data available at the time the estimates are made, and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Our critical accounting estimates are described in our Annual Report on Form 10-K for the year ended December 31, 2025.</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statement of operations as a percentage of total revenues for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6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260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top w:val="single" w:sz="8" w:color="auto"/>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revenues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4"/>
          </w:tcPr>
          <w:p>
            <w:pPr>
              <w:jc w:val="right"/>
              <w:ind w:right="94"/>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Consulting revenues</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Events revenues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services and fulfillment</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Restructuring costs (credits)</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on investments, net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Credit loss expense on note receivable</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(6.8)</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(0.3)</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4"/>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Nine Months Ended September 30, 2026 and 2025</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0"/>
                <w:szCs w:val="20"/>
                <w:color w:val="auto"/>
              </w:rPr>
            </w:pPr>
          </w:p>
        </w:tc>
        <w:tc>
          <w:tcPr>
            <w:tcW w:w="13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8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gridSpan w:val="2"/>
            <w:vMerge w:val="continue"/>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gridSpan w:val="2"/>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revenues</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Events revenues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321"/>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24"/>
                <w:szCs w:val="24"/>
                <w:color w:val="auto"/>
              </w:rPr>
            </w:pPr>
          </w:p>
        </w:tc>
        <w:tc>
          <w:tcPr>
            <w:tcW w:w="13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8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gridSpan w:val="2"/>
            <w:vMerge w:val="continue"/>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gridSpan w:val="2"/>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revenues</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Events revenues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-4862830</wp:posOffset>
            </wp:positionV>
            <wp:extent cx="14605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-4862830</wp:posOffset>
            </wp:positionV>
            <wp:extent cx="14605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-4862830</wp:posOffset>
            </wp:positionV>
            <wp:extent cx="14605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-4862830</wp:posOffset>
            </wp:positionV>
            <wp:extent cx="1460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-3757295</wp:posOffset>
            </wp:positionV>
            <wp:extent cx="1460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-3757295</wp:posOffset>
            </wp:positionV>
            <wp:extent cx="1460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-3757295</wp:posOffset>
            </wp:positionV>
            <wp:extent cx="14605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-3757295</wp:posOffset>
            </wp:positionV>
            <wp:extent cx="1460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-2633980</wp:posOffset>
            </wp:positionV>
            <wp:extent cx="1460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-2616835</wp:posOffset>
            </wp:positionV>
            <wp:extent cx="14605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-2633980</wp:posOffset>
            </wp:positionV>
            <wp:extent cx="14605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-2616835</wp:posOffset>
            </wp:positionV>
            <wp:extent cx="14605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-2633980</wp:posOffset>
            </wp:positionV>
            <wp:extent cx="1460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-2616835</wp:posOffset>
            </wp:positionV>
            <wp:extent cx="14605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-2633980</wp:posOffset>
            </wp:positionV>
            <wp:extent cx="14605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-2616835</wp:posOffset>
            </wp:positionV>
            <wp:extent cx="14605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Research revenues are recognized as revenue primarily on a ratable basis over the term of the contracts, which are generally 12 or 24-month periods. Research revenues decreased 3% and 5% during the three and nine months ended September 30, 2026, respectively, compared to the prior year periods, primarily due to the decrease in CV, as discussed above. From a product perspective, the decrease in revenues during the three and nine months ended September 30, 2026 was primarily due to a decline in revenue from subscriptions to our research as well as a decrease in reprint revenue.</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Consulting revenues decreased 31% and 20% during the three and nine months ended September 30, 2026, respectively, compared to the prior year periods. The decrease in revenues during the three and nine months ended September 30, 2026 was due to a decrease in delivery of consulting services due to lower client bookings for both strategy consulting and content marketing. In February 2026, we announced that we would discontinue selling strategy consulting engagements and would fulfill our backlog of</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4" w:name="page25"/>
    <w:bookmarkEnd w:id="24"/>
    <w:p>
      <w:pPr>
        <w:spacing w:after="0" w:line="266" w:lineRule="auto"/>
        <w:rPr>
          <w:sz w:val="20"/>
          <w:szCs w:val="20"/>
          <w:color w:val="auto"/>
        </w:rPr>
      </w:pPr>
      <w:r>
        <w:rPr>
          <w:rFonts w:ascii="Times New Roman" w:cs="Times New Roman" w:eastAsia="Times New Roman" w:hAnsi="Times New Roman"/>
          <w:sz w:val="18"/>
          <w:szCs w:val="18"/>
          <w:color w:val="auto"/>
        </w:rPr>
        <w:t>strategy consulting engagements during 2026. Our ongoing consulting business will consist of content marketing consulting and advisory. We anticipate that, on a year over year basis, our 2026 consulting revenues will decline in the low 20 percent range due primarily to the cessation of strategy consulting in 2026.</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Events revenues increased 629% and decreased 7% during the three and nine months ended September 30, 2026, respectively, compared to the prior year periods. The increase in revenues during the three months ended September 30, 2026 was due to holding two events in the third quarter of 2026 that were held in the fourth quarter of the prior year. The decrease in revenues during the nine months ended September 30, 2026 was due to a decrease in event ticket revenue, due primarily to a decrease in the pricing of tickets.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the “Segments Results” section below for a discussion of revenues and expenses by segment.</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 and Fulfillment</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40" w:type="dxa"/>
            <w:vAlign w:val="bottom"/>
            <w:gridSpan w:val="5"/>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4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4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40" w:type="dxa"/>
            <w:vAlign w:val="bottom"/>
          </w:tcPr>
          <w:p>
            <w:pPr>
              <w:spacing w:after="0"/>
              <w:rPr>
                <w:sz w:val="12"/>
                <w:szCs w:val="12"/>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services and fulfillment (dollars in millions)</w:t>
            </w:r>
          </w:p>
        </w:tc>
        <w:tc>
          <w:tcPr>
            <w:tcW w:w="108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services and fulfillment as a percentage of</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98"/>
        </w:trPr>
        <w:tc>
          <w:tcPr>
            <w:tcW w:w="4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Service and fulfillment employees</w:t>
            </w: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34"/>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(at end of period)</w:t>
            </w:r>
          </w:p>
        </w:tc>
        <w:tc>
          <w:tcPr>
            <w:tcW w:w="3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340"/>
        </w:trPr>
        <w:tc>
          <w:tcPr>
            <w:tcW w:w="4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gridSpan w:val="5"/>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4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4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40" w:type="dxa"/>
            <w:vAlign w:val="bottom"/>
          </w:tcPr>
          <w:p>
            <w:pPr>
              <w:spacing w:after="0"/>
              <w:rPr>
                <w:sz w:val="12"/>
                <w:szCs w:val="12"/>
                <w:color w:val="auto"/>
              </w:rPr>
            </w:pPr>
          </w:p>
        </w:tc>
      </w:tr>
      <w:tr>
        <w:trPr>
          <w:trHeight w:val="20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services and fulfillment (dollars in millions)</w:t>
            </w:r>
          </w:p>
        </w:tc>
        <w:tc>
          <w:tcPr>
            <w:tcW w:w="108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116.8</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127.0</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services and fulfillment as a percentage of</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Cost of services and fulfillment expenses decreased 9% during the three months ended September 30, 2026 compared to the prior year period. The decrease was primarily due (1) a $2.3 million decrease in compensation and benefits costs due to a decrease in headcount, partially offset by an increase in incentive bonus costs, (2) a $0.7 million decrease in professional services costs related to the decrease in consulting revenues, (3) a $0.6 million decrease in stock compensation expense, and (4) a $0.5 million decrease in facilities costs primarily due to a decrease in lease expense. These decreases were partially offset by a $0.8 million increase in event costs due to holding two events in the third quarter of 2026 that were held in fourth quarter of the prior year.</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Cost of services and fulfillment expenses decreased 8% during the nine months ended September 30, 2026 compared to the prior year period. The decrease was primarily due (1) a $3.5 million decrease in compensation and benefits costs due to a decrease in headcount, partially offset by an increase in incentive bonus costs and benefit costs, (2) a $2.4 million decrease in facilities costs primarily due to a decrease in lease expense, (3) a $1.8 million decrease in professional services costs related to the decrease in consulting revenues, (4) a $1.4 million decrease in stock compensation expense, and (5) a $1.1 million decrease in event costs due primarily to the reformatting of certain of our events to smaller regional venues.</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40" w:type="dxa"/>
            <w:vAlign w:val="bottom"/>
            <w:gridSpan w:val="5"/>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4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4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40" w:type="dxa"/>
            <w:vAlign w:val="bottom"/>
          </w:tcPr>
          <w:p>
            <w:pPr>
              <w:spacing w:after="0"/>
              <w:rPr>
                <w:sz w:val="12"/>
                <w:szCs w:val="12"/>
                <w:color w:val="auto"/>
              </w:rPr>
            </w:pPr>
          </w:p>
        </w:tc>
      </w:tr>
      <w:tr>
        <w:trPr>
          <w:trHeight w:val="20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 expenses (dollars in millions)</w:t>
            </w:r>
          </w:p>
        </w:tc>
        <w:tc>
          <w:tcPr>
            <w:tcW w:w="108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and marketing expenses as a percentage of</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point</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 employees (at end of period)</w:t>
            </w: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340"/>
        </w:trPr>
        <w:tc>
          <w:tcPr>
            <w:tcW w:w="4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gridSpan w:val="5"/>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4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4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40" w:type="dxa"/>
            <w:vAlign w:val="bottom"/>
          </w:tcPr>
          <w:p>
            <w:pPr>
              <w:spacing w:after="0"/>
              <w:rPr>
                <w:sz w:val="12"/>
                <w:szCs w:val="12"/>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 expenses (dollars in millions)</w:t>
            </w:r>
          </w:p>
        </w:tc>
        <w:tc>
          <w:tcPr>
            <w:tcW w:w="108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102.9</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109.0</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and marketing expenses as a percentage of</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point</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9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Selling and marketing expenses decreased 7% during the three months ended September 30, 2026 compared to the prior year period. The decrease was primarily due to (1) a $1.2 million decrease in compensation and benefits costs due to a decrease in headcount and commissions expense and (2) a $0.4 million decrease in facilities costs primarily due to a decrease in lease expense.</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5" w:name="page26"/>
    <w:bookmarkEnd w:id="25"/>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Selling and marketing expenses decreased 6% during the nine months ended September 30, 2026 compared to the prior year period. The decrease was primarily due to (1) a $2.9 million decrease in compensation and benefits costs due to a decrease in headcount and commissions expense, partially offset by an increase in incentive bonus costs and benefit costs, (2) a $1.9 million decrease in facilities costs primarily due to a decrease in lease expense, and (3) a $1.2 million decrease in professional services costs.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40" w:type="dxa"/>
            <w:vAlign w:val="bottom"/>
          </w:tcPr>
          <w:p>
            <w:pPr>
              <w:spacing w:after="0"/>
              <w:rPr>
                <w:sz w:val="13"/>
                <w:szCs w:val="13"/>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4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0" w:type="dxa"/>
            <w:vAlign w:val="bottom"/>
          </w:tcPr>
          <w:p>
            <w:pPr>
              <w:spacing w:after="0"/>
              <w:rPr>
                <w:sz w:val="15"/>
                <w:szCs w:val="15"/>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4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40" w:type="dxa"/>
            <w:vAlign w:val="bottom"/>
          </w:tcPr>
          <w:p>
            <w:pPr>
              <w:spacing w:after="0"/>
              <w:rPr>
                <w:sz w:val="12"/>
                <w:szCs w:val="12"/>
                <w:color w:val="auto"/>
              </w:rPr>
            </w:pPr>
          </w:p>
        </w:tc>
        <w:tc>
          <w:tcPr>
            <w:tcW w:w="1380" w:type="dxa"/>
            <w:vAlign w:val="bottom"/>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91"/>
        </w:trPr>
        <w:tc>
          <w:tcPr>
            <w:tcW w:w="41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General and administrative expenses (dollars in</w:t>
            </w:r>
          </w:p>
        </w:tc>
        <w:tc>
          <w:tcPr>
            <w:tcW w:w="360" w:type="dxa"/>
            <w:vAlign w:val="bottom"/>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34"/>
        </w:trPr>
        <w:tc>
          <w:tcPr>
            <w:tcW w:w="4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millions)</w:t>
            </w:r>
          </w:p>
        </w:tc>
        <w:tc>
          <w:tcPr>
            <w:tcW w:w="1120" w:type="dxa"/>
            <w:vAlign w:val="bottom"/>
            <w:gridSpan w:val="3"/>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 as a percentage</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total revenues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 points</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98"/>
        </w:trPr>
        <w:tc>
          <w:tcPr>
            <w:tcW w:w="41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General and administrative employees (at end of</w:t>
            </w:r>
          </w:p>
        </w:tc>
        <w:tc>
          <w:tcPr>
            <w:tcW w:w="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4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period)</w:t>
            </w:r>
          </w:p>
        </w:tc>
        <w:tc>
          <w:tcPr>
            <w:tcW w:w="3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340"/>
        </w:trPr>
        <w:tc>
          <w:tcPr>
            <w:tcW w:w="4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40" w:type="dxa"/>
            <w:vAlign w:val="bottom"/>
          </w:tcPr>
          <w:p>
            <w:pPr>
              <w:spacing w:after="0"/>
              <w:rPr>
                <w:sz w:val="24"/>
                <w:szCs w:val="24"/>
                <w:color w:val="auto"/>
              </w:rPr>
            </w:pP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4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0" w:type="dxa"/>
            <w:vAlign w:val="bottom"/>
          </w:tcPr>
          <w:p>
            <w:pPr>
              <w:spacing w:after="0"/>
              <w:rPr>
                <w:sz w:val="15"/>
                <w:szCs w:val="15"/>
                <w:color w:val="auto"/>
              </w:rPr>
            </w:pP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414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40" w:type="dxa"/>
            <w:vAlign w:val="bottom"/>
          </w:tcPr>
          <w:p>
            <w:pPr>
              <w:spacing w:after="0"/>
              <w:rPr>
                <w:sz w:val="12"/>
                <w:szCs w:val="12"/>
                <w:color w:val="auto"/>
              </w:rPr>
            </w:pPr>
          </w:p>
        </w:tc>
        <w:tc>
          <w:tcPr>
            <w:tcW w:w="138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91"/>
        </w:trPr>
        <w:tc>
          <w:tcPr>
            <w:tcW w:w="41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General and administrative expenses (dollars in</w:t>
            </w:r>
          </w:p>
        </w:tc>
        <w:tc>
          <w:tcPr>
            <w:tcW w:w="3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34"/>
        </w:trPr>
        <w:tc>
          <w:tcPr>
            <w:tcW w:w="4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millions)</w:t>
            </w:r>
          </w:p>
        </w:tc>
        <w:tc>
          <w:tcPr>
            <w:tcW w:w="1120" w:type="dxa"/>
            <w:vAlign w:val="bottom"/>
            <w:gridSpan w:val="3"/>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shd w:val="clear" w:color="auto" w:fill="CFF0FC"/>
          </w:tcPr>
          <w:p>
            <w:pPr>
              <w:spacing w:after="0"/>
              <w:rPr>
                <w:sz w:val="20"/>
                <w:szCs w:val="20"/>
                <w:color w:val="auto"/>
              </w:rPr>
            </w:pPr>
          </w:p>
        </w:tc>
        <w:tc>
          <w:tcPr>
            <w:tcW w:w="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20"/>
                <w:szCs w:val="20"/>
                <w:color w:val="auto"/>
              </w:rPr>
            </w:pPr>
          </w:p>
        </w:tc>
        <w:tc>
          <w:tcPr>
            <w:tcW w:w="14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4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 as a percentage</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total revenues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 points</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 were consistent during the three months ended September 30, 2026 compared to the prior year period.</w:t>
      </w:r>
    </w:p>
    <w:p>
      <w:pPr>
        <w:spacing w:after="0" w:line="11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3% during the nine months ended September 30, 2026 compared to the prior year period. The increase was primarily due to (1) a $1.3 million increase in legal costs and (2) a $0.5 million increase in professional services costs. These increases were partially offset by a $0.7 million decrease in facilities costs primarily due to a decrease in lease expense.</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was consistent during the three months ended September 30, 2026 compared to the prior year period. Depreciation expense decreased by $0.5 million during the nine months ended September 30, 2026 compared to the prior year period due to certain software and leasehold improvement assets becoming fully depreciated.</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fluctuation for amortization expense was immaterial during the three and nine months ended September 30, 2026 compared to the prior year periods.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substantial and sustained decline in our stock price and our overall market capitalization from December 31, 2025 through March 31, 2026, it was determined that a triggering event occurred as of March 31, 2026, indicating goodwill may be impaired. Accordingly, we conducted a quantitative impairment test of our goodwill as of March 31, 2026 for our two reporting units (Research and Consulting) that have goodwill. As a result of the quantitative impairment test performed, we determined goodwill was impaired for our Research reporting unit and recorded a goodwill impairment charge of $10.8 million during the period ended March 31, 2026, which is not deductible for tax purposes.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concluded that a triggering event did not occur during the three months ended June 30, 2026 and September 30, 2026 and as such, a quantitative impairment test of goodwill was not required during the periods. We will continue to monitor relevant facts and circumstances, including future changes in our stock price. We may be required to record additional goodwill impairment charges. While we cannot predict if or when additional goodwill impairments may occur, future goodwill impairments could have material adverse effects on our results of operations and financial condition.</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a result of the substantial and sustained decline in our stock price and our overall market capitalization from mid-February 2025 through March 31, 2025, along with other qualitative considerations, including the impact from conditions in the macroeconomic environment, uncertainty created by changes in the United States’ trade policies, and the larger than expected decline in contract bookings during the first quarter of 2025, it was determined that a triggering event occurred as of March 31, 2025, indicating goodwill</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6" w:name="page27"/>
    <w:bookmarkEnd w:id="26"/>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may be impaired. Accordingly, we conducted a quantitative impairment test of our goodwill as of March 31, 2025 for our Research and Consulting reporting units. As a result of the quantitative impairment test, we determined goodwill was impaired for our Research reporting unit and recorded a goodwill impairment charge of $83.9 million during the three-month period ended March 31, 2025, which is not deductible for tax purposes.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 (Credits)</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In January 2025, we implemented a reduction in our workforce of approximately 6% across various geographies and functions to better align our cost structure with the revenue outlook for the year. We recorded $4.2 million of severance and related costs for this action during the fourth quarter of 2024, $1.5 million during the first quarter of 2025, $0.4 million during the second quarter of 2025, and $(0.1) million during the third quarter of 2025.</w:t>
      </w:r>
    </w:p>
    <w:p>
      <w:pPr>
        <w:spacing w:after="0" w:line="6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February 2026, we implemented a reduction in our workforce of approximately 8% across various geographies and functions to better align our cost structure with the revenue outlook for the year. We recorded $8.8 million of severance and related costs for this action during the fourth quarter of 2025, $1.2 million during the first quarter of 2026, and $2.0 million during the second quarter of 2026. During the third quarter of 2026, we recorded a reversal of severance and related costs of $0.6 million to reflect changes to the cost expectations regarding the reduction in our workforce. In addition, we incurred approximately $1.1 million for contract termination costs during the fourth quarter of 2025, $0.6 million during the first quarter of 2026, and $0.1 million during the third quarter of 2026. We also approved plans to close certain of our smaller offices both inside and outside the United States, resulting in a non-cash charge of $0.4 million for accelerated ROU asset amortization in the first quarter of 2026.</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on our borrowings. The fluctuation in interest expense was immaterial during the three and nine months ended September 30, 2026 compared to the prior year periods.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Loss on Investments, Net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Loss on investments, net primarily represents our share of equity method investment gains and losses from our technology-related investment funds. The fluctuation for loss on investments, net was immaterial during the three and nine months ended September 30, 2026 compared to the prior year periods. We received our final payout from the funds during the three months ended September 30, 2026 and the funds were fully liquidated as of September 30, 2026.</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 on Note Receivable</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Credit loss expense on note receivable recorded in the quarters ending June 30, 2026, September 30, 2025 and March 31, 2025 consist of an allowance for credit losses on a note receivable from the divestiture of FeedbackNow during the third quarter of 2024 (see Note 2 - </w:t>
      </w:r>
      <w:r>
        <w:rPr>
          <w:rFonts w:ascii="Times New Roman" w:cs="Times New Roman" w:eastAsia="Times New Roman" w:hAnsi="Times New Roman"/>
          <w:sz w:val="18"/>
          <w:szCs w:val="18"/>
          <w:i w:val="1"/>
          <w:iCs w:val="1"/>
          <w:color w:val="auto"/>
        </w:rPr>
        <w:t>Divestiture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Other income, net primarily consists of interest income, gains and losses on foreign currency, and gains and losses on foreign currency forward contracts. The fluctuation for other income, net was immaterial during the three months ended September 30, 2026 compared to the prior year period. Other income, net decreased by $0.6 million during the nine months ended September 30, 2026 compared to the prior year period primarily due to a decrease in interest income.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7"/>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19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5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92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gridSpan w:val="2"/>
          </w:tcPr>
          <w:p>
            <w:pPr>
              <w:spacing w:after="0"/>
              <w:rPr>
                <w:sz w:val="12"/>
                <w:szCs w:val="12"/>
                <w:color w:val="auto"/>
              </w:rPr>
            </w:pPr>
          </w:p>
        </w:tc>
        <w:tc>
          <w:tcPr>
            <w:tcW w:w="1200" w:type="dxa"/>
            <w:vAlign w:val="bottom"/>
            <w:tcBorders>
              <w:bottom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720" w:type="dxa"/>
            <w:vAlign w:val="bottom"/>
            <w:gridSpan w:val="2"/>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 (dollars in millions)</w:t>
            </w:r>
          </w:p>
        </w:tc>
        <w:tc>
          <w:tcPr>
            <w:tcW w:w="1160" w:type="dxa"/>
            <w:vAlign w:val="bottom"/>
            <w:gridSpan w:val="3"/>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880" w:type="dxa"/>
            <w:vAlign w:val="bottom"/>
            <w:gridSpan w:val="3"/>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1,476%</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305 points</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21"/>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7"/>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192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5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9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4"/>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920" w:type="dxa"/>
            <w:vAlign w:val="bottom"/>
            <w:gridSpan w:val="4"/>
          </w:tcPr>
          <w:p>
            <w:pPr>
              <w:jc w:val="right"/>
              <w:ind w:right="106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91"/>
        </w:trPr>
        <w:tc>
          <w:tcPr>
            <w:tcW w:w="580" w:type="dxa"/>
            <w:vAlign w:val="bottom"/>
          </w:tcPr>
          <w:p>
            <w:pPr>
              <w:spacing w:after="0"/>
              <w:rPr>
                <w:sz w:val="16"/>
                <w:szCs w:val="16"/>
                <w:color w:val="auto"/>
              </w:rPr>
            </w:pPr>
          </w:p>
        </w:tc>
        <w:tc>
          <w:tcPr>
            <w:tcW w:w="4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Provision for (benefit from) income taxes (dollars in</w:t>
            </w:r>
          </w:p>
        </w:tc>
        <w:tc>
          <w:tcPr>
            <w:tcW w:w="34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millions)</w:t>
            </w:r>
          </w:p>
        </w:tc>
        <w:tc>
          <w:tcPr>
            <w:tcW w:w="1160" w:type="dxa"/>
            <w:vAlign w:val="bottom"/>
            <w:gridSpan w:val="3"/>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FF0FC"/>
          </w:tcPr>
          <w:p>
            <w:pPr>
              <w:spacing w:after="0"/>
              <w:rPr>
                <w:sz w:val="20"/>
                <w:szCs w:val="20"/>
                <w:color w:val="auto"/>
              </w:rPr>
            </w:pPr>
          </w:p>
        </w:tc>
        <w:tc>
          <w:tcPr>
            <w:tcW w:w="136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(190%)</w:t>
            </w:r>
          </w:p>
        </w:tc>
        <w:tc>
          <w:tcPr>
            <w:tcW w:w="560" w:type="dxa"/>
            <w:vAlign w:val="bottom"/>
          </w:tcPr>
          <w:p>
            <w:pPr>
              <w:spacing w:after="0"/>
              <w:rPr>
                <w:sz w:val="20"/>
                <w:szCs w:val="20"/>
                <w:color w:val="auto"/>
              </w:rPr>
            </w:pPr>
          </w:p>
        </w:tc>
      </w:tr>
      <w:tr>
        <w:trPr>
          <w:trHeight w:val="234"/>
        </w:trPr>
        <w:tc>
          <w:tcPr>
            <w:tcW w:w="5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21 points</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57"/>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effective tax rate of 17.6% for the nine months ended September 30, 2026 differs from the statutory tax rate of 21% primarily due to the impact of nondeductible expenses on the forecasted effective tax rate offset by the impact of the non-deductible goodwill impairment, which is recorded as a discrete item during the period. The recognition of the $2.3 million tax benefit for the nine months ended September 30, 2026 resulted in an approximate $12.2 million tax asset (in prepaid and other current assets) and an approximate $8.6 million deferred tax liability (in other non-current liabilities) being recorded in the Consolidated Balance Sheets. We are forecasting tax expense to be recorded in the remaining three months of the year, resulting in an effective tax rate in the range of negative 10% to negative 20% for the full year, which is expected to significantly reduce these balances by December 31, 2026.</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operate in three segments: Research, Consulting, and Events. These segments, which are also our reportable segments, are based on our management structure and how management uses financial information to evaluate performance and determine how to allocate resources. Our products and services are delivered through each segment as described below.</w:t>
      </w:r>
    </w:p>
    <w:p>
      <w:pPr>
        <w:spacing w:after="0" w:line="68" w:lineRule="exact"/>
        <w:rPr>
          <w:sz w:val="20"/>
          <w:szCs w:val="20"/>
          <w:color w:val="auto"/>
        </w:rPr>
      </w:pPr>
    </w:p>
    <w:p>
      <w:pPr>
        <w:ind w:right="560" w:firstLine="509"/>
        <w:spacing w:after="0" w:line="261" w:lineRule="auto"/>
        <w:rPr>
          <w:sz w:val="20"/>
          <w:szCs w:val="20"/>
          <w:color w:val="auto"/>
        </w:rPr>
      </w:pPr>
      <w:r>
        <w:rPr>
          <w:rFonts w:ascii="Times New Roman" w:cs="Times New Roman" w:eastAsia="Times New Roman" w:hAnsi="Times New Roman"/>
          <w:sz w:val="18"/>
          <w:szCs w:val="18"/>
          <w:color w:val="auto"/>
        </w:rPr>
        <w:t>The Research segment includes the revenues from all of our research products as well as consulting revenues from advisory services (such as speeches and advisory days) delivered by our research organization. Research segment costs include the cost of the organizations responsible for developing and delivering these products in addition to the costs of the product management organization that is responsible for product pricing and packaging, and the launch of new products.</w:t>
      </w:r>
    </w:p>
    <w:p>
      <w:pPr>
        <w:spacing w:after="0" w:line="7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Consulting segment includes the revenues and the related costs of our project consulting organization. The project consulting organization delivers a majority of our project consulting revenue.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Events segment includes the revenues and the costs of the organization responsible for developing and hosting our events.</w:t>
      </w:r>
    </w:p>
    <w:p>
      <w:pPr>
        <w:spacing w:after="0" w:line="11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evaluate reportable segment performance and allocate resources based on segment operating income (loss). Segment expenses include the direct expenses of each segment organization and exclude selling and marketing expenses, general and administrative expenses, stock-based compensation expense, depreciation expense, adjustments to incentive bonus compensation from target amounts, amortization of intangible assets, goodwill impairment, restructuring costs (credits), interest expense, credit loss expense on note receivable, other income, and losses on investments. The accounting policies used by the segments are the same as those used in the consolidated financial statements.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40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Research</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3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Events Segment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40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34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70,138</w:t>
            </w:r>
          </w:p>
        </w:tc>
        <w:tc>
          <w:tcPr>
            <w:tcW w:w="32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revenues</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Events revenues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73,761</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86,107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(24,132)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(6,844)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49,629</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Year over year revenue change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over year expense change</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Research</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40" w:type="dxa"/>
            <w:vAlign w:val="bottom"/>
          </w:tcPr>
          <w:p>
            <w:pPr>
              <w:spacing w:after="0"/>
              <w:rPr>
                <w:sz w:val="24"/>
                <w:szCs w:val="24"/>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Events Segment</w:t>
            </w: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6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gridSpan w:val="8"/>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72,652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revenues</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21,475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Events revenues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78,139</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94,295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(25,221)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(9,536)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(36,440)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52,918</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57,855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tbl>
      <w:tblPr>
        <w:tblLayout w:type="fixed"/>
        <w:tblInd w:w="5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gridSpan w:val="4"/>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Research</w:t>
            </w:r>
          </w:p>
        </w:tc>
        <w:tc>
          <w:tcPr>
            <w:tcW w:w="120" w:type="dxa"/>
            <w:vAlign w:val="bottom"/>
          </w:tcPr>
          <w:p>
            <w:pPr>
              <w:spacing w:after="0"/>
              <w:rPr>
                <w:sz w:val="13"/>
                <w:szCs w:val="13"/>
                <w:color w:val="auto"/>
              </w:rPr>
            </w:pPr>
          </w:p>
        </w:tc>
        <w:tc>
          <w:tcPr>
            <w:tcW w:w="102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Events Segment</w:t>
            </w:r>
          </w:p>
        </w:tc>
        <w:tc>
          <w:tcPr>
            <w:tcW w:w="80" w:type="dxa"/>
            <w:vAlign w:val="bottom"/>
          </w:tcPr>
          <w:p>
            <w:pPr>
              <w:spacing w:after="0"/>
              <w:rPr>
                <w:sz w:val="13"/>
                <w:szCs w:val="13"/>
                <w:color w:val="auto"/>
              </w:rPr>
            </w:pPr>
          </w:p>
        </w:tc>
        <w:tc>
          <w:tcPr>
            <w:tcW w:w="130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gridSpan w:val="4"/>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5"/>
                <w:szCs w:val="15"/>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6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0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208,736</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68"/>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revenues</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14,208</w:t>
            </w:r>
          </w:p>
        </w:tc>
        <w:tc>
          <w:tcPr>
            <w:tcW w:w="3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53,368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Events revenues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6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222,944</w:t>
            </w:r>
          </w:p>
        </w:tc>
        <w:tc>
          <w:tcPr>
            <w:tcW w:w="3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271,794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(76,442)</w:t>
            </w: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(23,899)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(12,465)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146,502</w:t>
            </w:r>
          </w:p>
        </w:tc>
        <w:tc>
          <w:tcPr>
            <w:tcW w:w="3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(2,775)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158,988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Year over year revenue change</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2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over year expense change</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240" w:type="dxa"/>
            <w:vAlign w:val="bottom"/>
            <w:gridSpan w:val="4"/>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40"/>
        </w:trPr>
        <w:tc>
          <w:tcPr>
            <w:tcW w:w="3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Research</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Events Segment</w:t>
            </w:r>
          </w:p>
        </w:tc>
        <w:tc>
          <w:tcPr>
            <w:tcW w:w="14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bottom w:val="single" w:sz="8" w:color="auto"/>
            </w:tcBorders>
            <w:gridSpan w:val="3"/>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gridSpan w:val="9"/>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218,992</w:t>
            </w:r>
          </w:p>
        </w:tc>
        <w:tc>
          <w:tcPr>
            <w:tcW w:w="12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revenues</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120" w:type="dxa"/>
            <w:vAlign w:val="bottom"/>
            <w:shd w:val="clear" w:color="auto" w:fill="CFF0FC"/>
          </w:tcPr>
          <w:p>
            <w:pPr>
              <w:spacing w:after="0"/>
              <w:rPr>
                <w:sz w:val="18"/>
                <w:szCs w:val="18"/>
                <w:color w:val="auto"/>
              </w:rPr>
            </w:pPr>
          </w:p>
        </w:tc>
        <w:tc>
          <w:tcPr>
            <w:tcW w:w="12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66,404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Events revenues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235,326</w:t>
            </w:r>
          </w:p>
        </w:tc>
        <w:tc>
          <w:tcPr>
            <w:tcW w:w="120" w:type="dxa"/>
            <w:vAlign w:val="bottom"/>
            <w:shd w:val="clear" w:color="auto" w:fill="CFF0FC"/>
          </w:tcPr>
          <w:p>
            <w:pPr>
              <w:spacing w:after="0"/>
              <w:rPr>
                <w:sz w:val="18"/>
                <w:szCs w:val="18"/>
                <w:color w:val="auto"/>
              </w:rPr>
            </w:pPr>
          </w:p>
        </w:tc>
        <w:tc>
          <w:tcPr>
            <w:tcW w:w="12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295,830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(77,539)</w:t>
            </w:r>
          </w:p>
        </w:tc>
        <w:tc>
          <w:tcPr>
            <w:tcW w:w="1460" w:type="dxa"/>
            <w:vAlign w:val="bottom"/>
            <w:gridSpan w:val="6"/>
          </w:tcPr>
          <w:p>
            <w:pPr>
              <w:jc w:val="right"/>
              <w:ind w:right="88"/>
              <w:spacing w:after="0"/>
              <w:rPr>
                <w:sz w:val="20"/>
                <w:szCs w:val="20"/>
                <w:color w:val="auto"/>
              </w:rPr>
            </w:pPr>
            <w:r>
              <w:rPr>
                <w:rFonts w:ascii="Times New Roman" w:cs="Times New Roman" w:eastAsia="Times New Roman" w:hAnsi="Times New Roman"/>
                <w:sz w:val="18"/>
                <w:szCs w:val="18"/>
                <w:color w:val="auto"/>
              </w:rPr>
              <w:t>(28,591)</w:t>
            </w:r>
          </w:p>
        </w:tc>
        <w:tc>
          <w:tcPr>
            <w:tcW w:w="2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(13,560)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(119,690)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157,787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21,479</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(3,126)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176,140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segment revenues decreased 6% and 5% during the three and nine months ended September 30, 2026, respectively, compared to the prior year periods. For the three and nine months ended September 30, 2026, research product revenues within this segment decreased 3% and 5%, respectively, primarily due to the decrease in CV. For the three and nine months ended September 30, 2026, consulting product revenues within this segment decreased 34% and 13%, respectively, primarily due to decreased delivery of consulting and advisory services by our research analysts.</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Research segment expenses decreased 4% and 1% during the three and nine months ended September 30, 2026, respectively, compared to the prior year periods. The decrease in expenses during the three and nine months ended September 30, 2026 was primarily due to a $1.2 million decrease in compensation and benefit costs primarily due to a decrease in headcount.</w:t>
      </w:r>
    </w:p>
    <w:p>
      <w:pPr>
        <w:spacing w:after="0" w:line="6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Consulting segment revenues decreased 30% and 22% during the three and nine months ended September 30, 2026, respectively, compared to the prior year periods. The decrease in revenues during the three and nine months ended September 30, 2026 was due to a decrease in delivery of consulting services due to lower client bookings and due to the discontinuation of selling strategy consulting engagements.</w:t>
      </w:r>
    </w:p>
    <w:p>
      <w:pPr>
        <w:spacing w:after="0" w:line="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Consulting segment expenses decreased 28% and 16% during the three and nine months ended September 30, 2026, respectively, compared to the prior year periods. The decrease in expenses during the three months ended September 30, 2026 was primarily due to (1) a $2.0 million decrease in compensation and benefit costs primarily due to a decrease in headcount and (2) a $0.5 million decrease in professional services costs. The decrease in expenses during the nine months ended September 30, 2026 was primarily due to (1) a $3.1 million decrease in compensation and benefit costs primarily due to a decrease in headcount, (2) a $0.8 million decrease in professional services costs, and (3) a $0.7 million decrease in billable fees.</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Event segment revenues increased 629% and decreased 7% during the three and nine months ended September 30, 2026, respectively, compared to the prior year periods. The increase in revenues during the three months ended September 30, 2026 was due to holding two events in the third quarter of 2026 that were held in the fourth quarter of the prior year. The decrease in revenues during the nine months ended September 30, 2026 was due to a decrease in event ticket revenue, due primarily to a decrease in the pricing of tickets.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Event segment expenses increased 51% and decreased 8% during the three and nine months ended September 30, 2026, respectively, compared to the prior year periods. The increase in expenses for the three months ended September 30, 2026 was due primarily to a $0.8 million increase in event costs due to holding two events in the third quarter of 2026 that were held in the fourth quarter of the prior year. The decrease in expenses for the nine months ended September 30, 2026 was due primarily to a $1.1 million decrease in event costs due primarily to the reformatting of certain of our events to smaller regional 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We have historically financed our operations primarily through funds generated from operations. Research revenues, which constituted approximately 77% of our revenues during the nine months ended September 30, 2026, are generally renewable and are</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66" w:right="419" w:bottom="1440" w:gutter="0" w:footer="0" w:header="0"/>
        </w:sectPr>
      </w:pPr>
    </w:p>
    <w:bookmarkStart w:id="29" w:name="page30"/>
    <w:bookmarkEnd w:id="29"/>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typically payable in advance. We generated cash from operating activities of $33.4 million and $24.3 million during the nine months ended September 30, 2026 and 2025, respectively. The $9.1 million increase in cash from operations for the nine months ended September 30, 2026 compared to the prior year period was primarily due to $17.1 million received for the tenant improvement allowance related to the new lease for our principal headquarters and a $3.8 million reduction in income taxes paid, partially offset by a reduction in pre-tax income, excluding non-cash items.</w:t>
      </w:r>
    </w:p>
    <w:p>
      <w:pPr>
        <w:spacing w:after="0" w:line="7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2026, we used cash in investing activities of $24.1 million primarily from $24.8 million of purchases of property and equipment, which included approximately $22.3 million of leasehold improvements and furniture and fixtures for the renovation of our headquarters, partially offset by a $0.5 million distribution received from an equity method investment and $0.4 million in net maturities and sales of marketable investments. The renovation of our headquarters is essentially complete and we anticipate making the final payments of approximately $2.5 million during the fourth quarter of 2026. During the nine months ended September 30, 2025, we used cash in investing activities of $15.7 million primarily from $15.4 million in net purchases of marketable investments and $1.9 million of purchases of property and equipment, primarily consisting of computer software, partially offset by </w:t>
      </w:r>
      <w:r>
        <w:rPr>
          <w:rFonts w:ascii="Times New Roman" w:cs="Times New Roman" w:eastAsia="Times New Roman" w:hAnsi="Times New Roman"/>
          <w:sz w:val="18"/>
          <w:szCs w:val="18"/>
          <w:color w:val="212529"/>
        </w:rPr>
        <w:t>a $1.4 million distribution received from an equity method investment.</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11, 2025, we entered into a third amendment of our lease, and a new lease, for our principal headquarters located in Cambridge, Massachusetts. The effect of these agreements was to early terminate the original lease with respect to the first, second and third floors of the facility by the end of the second quarter of 2026, while also extending the lease term with respect to the fourth, fifth and six floors of the facility through June 30, 2039. As a result of reducing the number of floors that we occupy, we renovated floors four to six of the facility.</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2026, we used $16.8 million of cash in financing activities primarily due to $11.3 million for purchases of our common stock, $5.0 million in discretionary repayments of our revolving credit facility, and $1.2 million in taxes paid related to net share settlements of restricted stock units, partially offset by $1.0 million of net proceeds from the issuance of common stock under our stock-based incentive plans. During the nine months ended September 30, 2025, we used $2.4 million of cash in financing activities primarily due to $2.4 million for purchases of our common stock and $1.2 million in taxes paid related to net share settlements of restricted stock units, partially offset by $1.3 million of net proceeds from the issuance of common stock under our stock-based incentive plans. As of September 30, 2026, our remaining stock repurchase authorization was approximately $66.0 million. We anticipate purchasing additional shares of our common stock in the fourth quarter of 2026.</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March 12, 2026, we executed a third amendment of the credit facility in order to extend its maturity period and to reduce the size of the facility in order to decrease ongoing costs of the facility. The key terms of the amendment include (a) an extension of the maturity date from December 2026 until March 2029, (b) a reduction in the facility from $150.0 million to $50.0 million, (c) a reduction in the amount that we are permitted, subject to approval by the administrative agent, to increase commitments under the facility from $50.0 million to $15.0 million, and (d) the addition of a minimum liquidity covenant.</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credit facility contains certain customary restrictive loan covenants, including among others, financial covenants that apply a maximum leverage ratio, minimum interest coverage ratio, minimum liquidity amount, and maximum annual capital expenditures. The negative covenants limit, subject to various exceptions, our ability to incur additional indebtedness, create liens on assets, merge, consolidate, liquidate or dissolve any part of the company, sell assets, change fiscal year, or enter into certain transactions with affiliates and subsidiaries. We were in full compliance with the covenants as of September 30, 2026 and expect to continue to be in compliance through the next 12 months.</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Additional future contractual cash obligations extending over the next 12 months and beyond primarily consist of operating lease payments. We lease office space under non-cancelable operating lease agreements. The remaining duration of non-cancelable office space leases ranges from less than 1 year to 13 years. Remaining lease payments within one year, within two to three years, within four to five years, and after five years from September 30, 2026, are $2.5 million, $15.4 million, $13.2 million, and $37.7 million respectively.</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contractual cash commitments included above, we have other payables and liabilities that may be legally enforceable but are not considered contractual commitments.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2026, we had cash, cash equivalents, and marketable investments of $117.6 million. This balance includes $84.3 million held outside of the U.S. If the cash outside of the U.S. is needed for operations in the U.S., we would be required to accrue and pay U.S. state taxes and may be required to pay withholding taxes to foreign jurisdictions to repatriate these funds. However, our intent is to permanently reinvest these funds outside of the U.S. and our current plans do not demonstrate a need to repatriate these funds for our U.S. operations. We believe that our current cash balance and cash flows from operations will satisfy working capital, financing activities, and capital expenditure requirements for the next twelve months and to meet our known long-term cash requirements.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2026, we did not have any significant unrecognized tax benefits for uncertain tax positions.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right="3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1 – </w:t>
      </w:r>
      <w:r>
        <w:rPr>
          <w:rFonts w:ascii="Times New Roman" w:cs="Times New Roman" w:eastAsia="Times New Roman" w:hAnsi="Times New Roman"/>
          <w:sz w:val="18"/>
          <w:szCs w:val="18"/>
          <w:i w:val="1"/>
          <w:iCs w:val="1"/>
          <w:color w:val="auto"/>
        </w:rPr>
        <w:t>Interim Consolidated Financial Statements</w:t>
      </w:r>
      <w:r>
        <w:rPr>
          <w:rFonts w:ascii="Times New Roman" w:cs="Times New Roman" w:eastAsia="Times New Roman" w:hAnsi="Times New Roman"/>
          <w:sz w:val="18"/>
          <w:szCs w:val="18"/>
          <w:color w:val="auto"/>
        </w:rPr>
        <w:t xml:space="preserve"> in the Notes to Consolidated Financial Statements for a full description of recent accounting pronouncements including the expected dates of adoption and effects on results of operations and financial condition. There have been no material changes to the critical accounting policies and estimates previously disclosed in that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information regarding our critical accounting policies and estimates, please refer to Note 1, "Summary of Significant Accounting Policies" and Item 7, “Critical Accounting Estimates” contained in our Annual Report on Form 10-K for the fiscal year ended December 31, 2025. There have been no material changes to the critical accounting policies and estimates previously disclosed in that report.</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97"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assessment of our sensitivity to market risk since our presentation set forth in Item 7A, “Quantitative and Qualitative Disclosures About Market Risk,” in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under Securities Exchange Act Rule 13a-15(e),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 Our management, with the participation of our principal executive officer and principal financial officer, has evaluated the effectiveness of our disclosure controls and procedures as of September 30, 2026. Based upon their evaluation and subject to the foregoing, the principal executive officer and principal financial officer concluded that our disclosure controls and procedures were effective to provide reasonable assurance as of that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of the Exchange Act) that occurred during the quarter ended September 30, 2026, which has materially affected, or is reasonably likely to materially affect, our internal control over financial reporting.</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information set forth in the "Note 16 -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in Part I, Item 1 of this Quarterly Report is incorporated herein by reference.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Form 10-Q, you should carefully consider the factors discussed in Part I, “Item 1A: Risk Factors” in our Annual Report on Form 10-K for the year ended December 31, 2025, which could materially affect our business, financial condition or future results. The risk factors described in our Annual Report on Form 10-K remain applicable to our business. The risks described in our Annual Report on Form 10-K are not the only risks that we face. Additional risks and uncertainties not currently known to us or that we currently deem to be immaterial also may materially adversely affect our business, financial condition and/or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Through September 30, 2026, our Board of Directors authorized an aggregate of $610.0 million to purchase common stock under our stock repurchase program. During the quarter ended September 30, 2026, we purchased the following shares of our common stock under the stock repurchase program.</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Dollar</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May</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48"/>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73"/>
        </w:trPr>
        <w:tc>
          <w:tcPr>
            <w:tcW w:w="4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 July 31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247,070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247,070</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August 1 - August 31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345,205</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345,205</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 September 30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330,400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330,400</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for the quarter</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922,675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922,675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880" w:firstLine="509"/>
        <w:spacing w:after="0" w:line="297" w:lineRule="auto"/>
        <w:rPr>
          <w:sz w:val="20"/>
          <w:szCs w:val="20"/>
          <w:color w:val="auto"/>
        </w:rPr>
      </w:pPr>
      <w:r>
        <w:rPr>
          <w:rFonts w:ascii="Times New Roman" w:cs="Times New Roman" w:eastAsia="Times New Roman" w:hAnsi="Times New Roman"/>
          <w:sz w:val="18"/>
          <w:szCs w:val="18"/>
          <w:color w:val="auto"/>
        </w:rPr>
        <w:t>During the three months ended September 30, 2026, no director or officer of the Company adopted or terminated a “Rule 10b5-1 trading arrangement” or “non-Rule 10b5-1 trading arrangement,” as each term is defined in Item 408(a)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w:t>
            </w:r>
          </w:p>
        </w:tc>
        <w:tc>
          <w:tcPr>
            <w:tcW w:w="101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354">
              <w:r>
                <w:rPr>
                  <w:rFonts w:ascii="Times New Roman" w:cs="Times New Roman" w:eastAsia="Times New Roman" w:hAnsi="Times New Roman"/>
                  <w:sz w:val="18"/>
                  <w:szCs w:val="18"/>
                  <w:color w:val="0000FF"/>
                  <w:w w:val="99"/>
                </w:rPr>
                <w:t>Restated Certificate of Incorporation of Forrester Research, Inc. (see Exhibit 3.1 to Registration Statement on Form S-1A filed on November</w:t>
              </w:r>
            </w:hyperlink>
          </w:p>
        </w:tc>
      </w:tr>
      <w:tr>
        <w:trPr>
          <w:trHeight w:val="196"/>
        </w:trPr>
        <w:tc>
          <w:tcPr>
            <w:tcW w:w="108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6"/>
              </w:rPr>
            </w:pPr>
            <w:hyperlink r:id="rId354">
              <w:r>
                <w:rPr>
                  <w:rFonts w:ascii="Times New Roman" w:cs="Times New Roman" w:eastAsia="Times New Roman" w:hAnsi="Times New Roman"/>
                  <w:sz w:val="18"/>
                  <w:szCs w:val="18"/>
                  <w:color w:val="0000FF"/>
                  <w:w w:val="96"/>
                </w:rPr>
                <w:t>5, 1996)</w:t>
              </w:r>
            </w:hyperlink>
          </w:p>
        </w:tc>
        <w:tc>
          <w:tcPr>
            <w:tcW w:w="20" w:type="dxa"/>
            <w:vAlign w:val="bottom"/>
            <w:tcBorders>
              <w:bottom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w:t>
            </w:r>
          </w:p>
        </w:tc>
        <w:tc>
          <w:tcPr>
            <w:tcW w:w="101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Certificate of Amendment of the Certificate of Incorporation of Forrester Research, Inc. (see Exhibit 3.1 to Annual Report on Form 10-K for</w:t>
              </w:r>
            </w:hyperlink>
          </w:p>
        </w:tc>
      </w:tr>
      <w:tr>
        <w:trPr>
          <w:trHeight w:val="196"/>
        </w:trPr>
        <w:tc>
          <w:tcPr>
            <w:tcW w:w="1080" w:type="dxa"/>
            <w:vAlign w:val="bottom"/>
          </w:tcPr>
          <w:p>
            <w:pPr>
              <w:spacing w:after="0"/>
              <w:rPr>
                <w:sz w:val="17"/>
                <w:szCs w:val="17"/>
                <w:color w:val="auto"/>
              </w:rPr>
            </w:pPr>
          </w:p>
        </w:tc>
        <w:tc>
          <w:tcPr>
            <w:tcW w:w="25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55">
              <w:r>
                <w:rPr>
                  <w:rFonts w:ascii="Times New Roman" w:cs="Times New Roman" w:eastAsia="Times New Roman" w:hAnsi="Times New Roman"/>
                  <w:sz w:val="18"/>
                  <w:szCs w:val="18"/>
                  <w:color w:val="0000FF"/>
                  <w:w w:val="99"/>
                </w:rPr>
                <w:t>the year ended December 31, 1999)</w:t>
              </w:r>
            </w:hyperlink>
          </w:p>
        </w:tc>
        <w:tc>
          <w:tcPr>
            <w:tcW w:w="20" w:type="dxa"/>
            <w:vAlign w:val="bottom"/>
            <w:tcBorders>
              <w:bottom w:val="single" w:sz="8" w:color="0000EE"/>
            </w:tcBorders>
          </w:tcPr>
          <w:p>
            <w:pPr>
              <w:spacing w:after="0"/>
              <w:rPr>
                <w:sz w:val="17"/>
                <w:szCs w:val="17"/>
                <w:color w:val="auto"/>
              </w:rPr>
            </w:pPr>
          </w:p>
        </w:tc>
        <w:tc>
          <w:tcPr>
            <w:tcW w:w="7560" w:type="dxa"/>
            <w:vAlign w:val="bottom"/>
            <w:gridSpan w:val="11"/>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3.3</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Certificate of Amendment to Restated Certificate of Incorporation of Forrester Research, Inc. (see Exhibit 3.1 to Form 8-K filed on May 25,</w:t>
              </w:r>
            </w:hyperlink>
          </w:p>
        </w:tc>
      </w:tr>
      <w:tr>
        <w:trPr>
          <w:trHeight w:val="196"/>
        </w:trPr>
        <w:tc>
          <w:tcPr>
            <w:tcW w:w="10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356">
              <w:r>
                <w:rPr>
                  <w:rFonts w:ascii="Times New Roman" w:cs="Times New Roman" w:eastAsia="Times New Roman" w:hAnsi="Times New Roman"/>
                  <w:sz w:val="18"/>
                  <w:szCs w:val="18"/>
                  <w:color w:val="0000FF"/>
                  <w:w w:val="95"/>
                </w:rPr>
                <w:t>2017)</w:t>
              </w:r>
            </w:hyperlink>
          </w:p>
        </w:tc>
        <w:tc>
          <w:tcPr>
            <w:tcW w:w="20" w:type="dxa"/>
            <w:vAlign w:val="bottom"/>
            <w:tcBorders>
              <w:top w:val="single" w:sz="8" w:color="0000FF"/>
              <w:bottom w:val="single" w:sz="8" w:color="0000EE"/>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3.4</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Amended and Restated By-Laws of Forrester Research, Inc. (see Exhibit 3.4 to Annual Report on Form 10-K for the year ended December</w:t>
              </w:r>
            </w:hyperlink>
          </w:p>
        </w:tc>
      </w:tr>
      <w:tr>
        <w:trPr>
          <w:trHeight w:val="196"/>
        </w:trPr>
        <w:tc>
          <w:tcPr>
            <w:tcW w:w="1080" w:type="dxa"/>
            <w:vAlign w:val="bottom"/>
          </w:tcPr>
          <w:p>
            <w:pPr>
              <w:spacing w:after="0"/>
              <w:rPr>
                <w:sz w:val="17"/>
                <w:szCs w:val="17"/>
                <w:color w:val="auto"/>
              </w:rPr>
            </w:pPr>
          </w:p>
        </w:tc>
        <w:tc>
          <w:tcPr>
            <w:tcW w:w="70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357">
              <w:r>
                <w:rPr>
                  <w:rFonts w:ascii="Times New Roman" w:cs="Times New Roman" w:eastAsia="Times New Roman" w:hAnsi="Times New Roman"/>
                  <w:sz w:val="18"/>
                  <w:szCs w:val="18"/>
                  <w:color w:val="0000FF"/>
                  <w:w w:val="98"/>
                </w:rPr>
                <w:t>31, 2022)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4.1</w:t>
            </w:r>
          </w:p>
        </w:tc>
        <w:tc>
          <w:tcPr>
            <w:tcW w:w="99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Specimen Certificate for shares of Common Stock, $.01 par value, of Forrester Research, Inc. (see Exhibit 4 to Registration Statement on</w:t>
              </w:r>
            </w:hyperlink>
          </w:p>
        </w:tc>
        <w:tc>
          <w:tcPr>
            <w:tcW w:w="22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8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54">
              <w:r>
                <w:rPr>
                  <w:rFonts w:ascii="Times New Roman" w:cs="Times New Roman" w:eastAsia="Times New Roman" w:hAnsi="Times New Roman"/>
                  <w:sz w:val="18"/>
                  <w:szCs w:val="18"/>
                  <w:color w:val="0000FF"/>
                  <w:w w:val="99"/>
                </w:rPr>
                <w:t>Form S-1A filed on November 5, 1996)</w:t>
              </w:r>
            </w:hyperlink>
          </w:p>
        </w:tc>
        <w:tc>
          <w:tcPr>
            <w:tcW w:w="7280" w:type="dxa"/>
            <w:vAlign w:val="bottom"/>
            <w:gridSpan w:val="10"/>
          </w:tcPr>
          <w:p>
            <w:pPr>
              <w:spacing w:after="0"/>
              <w:rPr>
                <w:sz w:val="17"/>
                <w:szCs w:val="17"/>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10.1</w:t>
            </w: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Amended and Restated Executive Cash Incentive Plan</w:t>
            </w:r>
          </w:p>
        </w:tc>
      </w:tr>
      <w:tr>
        <w:trPr>
          <w:trHeight w:val="20"/>
        </w:trPr>
        <w:tc>
          <w:tcPr>
            <w:tcW w:w="1080" w:type="dxa"/>
            <w:vAlign w:val="bottom"/>
          </w:tcPr>
          <w:p>
            <w:pPr>
              <w:spacing w:after="0" w:line="20" w:lineRule="exact"/>
              <w:rPr>
                <w:sz w:val="1"/>
                <w:szCs w:val="1"/>
                <w:color w:val="auto"/>
              </w:rPr>
            </w:pPr>
          </w:p>
        </w:tc>
        <w:tc>
          <w:tcPr>
            <w:tcW w:w="3940" w:type="dxa"/>
            <w:vAlign w:val="bottom"/>
            <w:tcBorders>
              <w:right w:val="single" w:sz="8" w:color="0000EE"/>
            </w:tcBorders>
            <w:gridSpan w:val="10"/>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31.1</w:t>
            </w:r>
          </w:p>
        </w:tc>
        <w:tc>
          <w:tcPr>
            <w:tcW w:w="46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Executive Officer. (filed herewith)</w:t>
            </w:r>
          </w:p>
        </w:tc>
        <w:tc>
          <w:tcPr>
            <w:tcW w:w="5540" w:type="dxa"/>
            <w:vAlign w:val="bottom"/>
            <w:gridSpan w:val="7"/>
          </w:tcPr>
          <w:p>
            <w:pPr>
              <w:spacing w:after="0"/>
              <w:rPr>
                <w:sz w:val="24"/>
                <w:szCs w:val="24"/>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31.2</w:t>
            </w: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(filed herewith)</w:t>
            </w:r>
          </w:p>
        </w:tc>
      </w:tr>
      <w:tr>
        <w:trPr>
          <w:trHeight w:val="20"/>
        </w:trPr>
        <w:tc>
          <w:tcPr>
            <w:tcW w:w="1080" w:type="dxa"/>
            <w:vAlign w:val="bottom"/>
          </w:tcPr>
          <w:p>
            <w:pPr>
              <w:spacing w:after="0" w:line="20" w:lineRule="exact"/>
              <w:rPr>
                <w:sz w:val="1"/>
                <w:szCs w:val="1"/>
                <w:color w:val="auto"/>
              </w:rPr>
            </w:pPr>
          </w:p>
        </w:tc>
        <w:tc>
          <w:tcPr>
            <w:tcW w:w="4580" w:type="dxa"/>
            <w:vAlign w:val="bottom"/>
            <w:tcBorders>
              <w:right w:val="single" w:sz="8" w:color="0000EE"/>
            </w:tcBorders>
            <w:gridSpan w:val="11"/>
            <w:shd w:val="clear" w:color="auto" w:fill="0000FF"/>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32.1</w:t>
            </w: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906 of the Sarbanes-Oxley Act of 2002. (furnished herewith)</w:t>
            </w:r>
          </w:p>
        </w:tc>
      </w:tr>
      <w:tr>
        <w:trPr>
          <w:trHeight w:val="318"/>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32.2</w:t>
            </w:r>
          </w:p>
        </w:tc>
        <w:tc>
          <w:tcPr>
            <w:tcW w:w="89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906 of the Sarbanes-Oxley Act of 2002. (furnished herewith)</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140" w:type="dxa"/>
            <w:vAlign w:val="bottom"/>
            <w:gridSpan w:val="4"/>
          </w:tcPr>
          <w:p>
            <w:pPr>
              <w:spacing w:after="0"/>
              <w:rPr>
                <w:sz w:val="24"/>
                <w:szCs w:val="24"/>
                <w:color w:val="auto"/>
              </w:rPr>
            </w:pPr>
          </w:p>
        </w:tc>
      </w:tr>
      <w:tr>
        <w:trPr>
          <w:trHeight w:val="34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4"/>
        </w:trPr>
        <w:tc>
          <w:tcPr>
            <w:tcW w:w="1080" w:type="dxa"/>
            <w:vAlign w:val="bottom"/>
          </w:tcPr>
          <w:p>
            <w:pPr>
              <w:spacing w:after="0"/>
              <w:rPr>
                <w:sz w:val="20"/>
                <w:szCs w:val="20"/>
                <w:color w:val="auto"/>
              </w:rPr>
            </w:pP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 (filed herewith)</w:t>
            </w:r>
          </w:p>
        </w:tc>
      </w:tr>
      <w:tr>
        <w:trPr>
          <w:trHeight w:val="33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 (filed herewith)</w:t>
            </w:r>
          </w:p>
        </w:tc>
      </w:tr>
    </w:tbl>
    <w:p>
      <w:pPr>
        <w:spacing w:after="0" w:line="103" w:lineRule="exact"/>
        <w:rPr>
          <w:sz w:val="20"/>
          <w:szCs w:val="20"/>
          <w:color w:val="auto"/>
        </w:rPr>
      </w:pPr>
    </w:p>
    <w:p>
      <w:pPr>
        <w:ind w:left="5540" w:right="3120" w:hanging="5532"/>
        <w:spacing w:after="0" w:line="814" w:lineRule="auto"/>
        <w:tabs>
          <w:tab w:leader="none" w:pos="10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(filed herewith)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FORRESTER RESEARCH, INC.</w:t>
      </w:r>
    </w:p>
    <w:p>
      <w:pPr>
        <w:spacing w:after="0" w:line="13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L. CHRISTIAN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 Christian Finn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25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5" w:name="page36"/>
    <w:bookmarkEnd w:id="3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 Acorn Park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Cambridge, MA 02140</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EXECUTIVE CASH INCENTIVE PLAN</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October 26, 2026 the Compensation and Nominating Committee (the “Committee”) of the Board of Directors of Forrester Research, Inc. (the “Company”) approved this Amended and Restated Executive Incentive Plan (the “Plan”), originally adopted by the Committee on February 10, 2010 and previously amended and restated on March 19, 2013 and February 6, 2023.</w:t>
      </w:r>
    </w:p>
    <w:p>
      <w:pPr>
        <w:spacing w:after="0" w:line="118"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 of the Plan</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purpose of this Plan is to reward the executive officers of the Company for their contributions toward the achievement of certain Company financial and strategic goals and, if determined by the Committee, for their individual performance. Except where the context otherwise requires, the term “Company”, as used in this Plan, includes any of the Company’s present or future parent or subsidiary corporations or entities. The term “Plan year” will mean the calendar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Administration</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Committee will administer and have final authority on all matters relating to the Plan. The Committee may interpret and construe the Plan, decide all matters arising under or in connection with the Plan, and reconcile any inconsistency in the Plan in the manner and to the extent it deems appropriate to carry into effect the Plan. The Committee may amend, suspend, revoke or terminate the Plan at any time. All payouts under the Plan are subject to the prior approval of the Committee. Decisions by the Committee will be in the Committee’s sole discretion and will be final and binding on all persons having or claiming any interest in the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Eligibility</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of the Company’s executive officers, and such other key employees as the Committee designates, will be eligible to participate in the Plan. Each executive officer and other designated employee, if any, is deemed a “Participant” in the Plan. Except as otherwise provided in this Plan, Participants must be employed by the Company on the applicable date of payout in order to receive a bonus, if any, under this Plan; provided that the Committee may provide for payment of a prorated bonus under the Plan in the case of an employee who first becomes a Plan Participant during the course of a Plan year, or in the case of a Participant who ceases to be eligible to participate in the Plan prior to the applicable payout date.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Plan Overview; Target Bonus; Performance Components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Plan year the Committee will designate those Participants eligible to earn a target bonus amount (“Target Bonus”) under the Plan and each Participant’s Target Bonus. Actual bonus payouts will be based on Company Performance (as defined below) for the applicable Plan year, modified upward or downward, if the Committee so determines, for Team Performance and/or Individual Performance (as defined below). The relative weightings of Team Performance and Individual Performance for any Plan year will be determined by the Committee for each Participant and may vary among Participants.</w:t>
      </w:r>
    </w:p>
    <w:p>
      <w:pPr>
        <w:spacing w:after="0" w:line="44" w:lineRule="exact"/>
        <w:rPr>
          <w:sz w:val="20"/>
          <w:szCs w:val="20"/>
          <w:color w:val="auto"/>
        </w:rPr>
      </w:pPr>
    </w:p>
    <w:p>
      <w:pPr>
        <w:ind w:left="1480" w:right="40" w:hanging="566"/>
        <w:spacing w:after="0" w:line="262"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 xml:space="preserve">Company Performance. </w:t>
      </w:r>
      <w:r>
        <w:rPr>
          <w:rFonts w:ascii="Times New Roman" w:cs="Times New Roman" w:eastAsia="Times New Roman" w:hAnsi="Times New Roman"/>
          <w:sz w:val="18"/>
          <w:szCs w:val="18"/>
          <w:color w:val="auto"/>
        </w:rPr>
        <w:t>Company performance levels are set annually in a matrix derived from the Company’s operating plan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year, with the matrix approved by the Committee during the first quarter of the Plan year (“Company Performance”), subject to adjustment, in the Committee’s discretion, to the extent deemed necessary or appropriate under the circumstances (for example, in the event of an acquisition or divestiture or a significant restructuring charge).</w:t>
      </w:r>
    </w:p>
    <w:p>
      <w:pPr>
        <w:spacing w:after="0" w:line="41" w:lineRule="exact"/>
        <w:rPr>
          <w:sz w:val="20"/>
          <w:szCs w:val="20"/>
          <w:color w:val="auto"/>
        </w:rPr>
      </w:pPr>
    </w:p>
    <w:p>
      <w:pPr>
        <w:ind w:left="1480" w:right="60" w:hanging="566"/>
        <w:spacing w:after="0" w:line="262"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 xml:space="preserve">Team Performance. </w:t>
      </w:r>
      <w:r>
        <w:rPr>
          <w:rFonts w:ascii="Times New Roman" w:cs="Times New Roman" w:eastAsia="Times New Roman" w:hAnsi="Times New Roman"/>
          <w:sz w:val="18"/>
          <w:szCs w:val="18"/>
          <w:color w:val="auto"/>
        </w:rPr>
        <w:t>Within a reasonable period of time after the commencement of each Plan year, after taking into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recommendations of the Chief Executive Officer, the Committee may assign team performance goals applicable to all Participants, with each team performance goal assigned a weight representing the percentage of the total bonus payout for that year attributable to achievement of such goal (“Team Performance”). Performance relative to each Team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6" w:name="page37"/>
    <w:bookmarkEnd w:id="36"/>
    <w:p>
      <w:pPr>
        <w:ind w:left="1480" w:right="20"/>
        <w:spacing w:after="0" w:line="289" w:lineRule="auto"/>
        <w:rPr>
          <w:sz w:val="20"/>
          <w:szCs w:val="20"/>
          <w:color w:val="auto"/>
        </w:rPr>
      </w:pPr>
      <w:r>
        <w:rPr>
          <w:rFonts w:ascii="Times New Roman" w:cs="Times New Roman" w:eastAsia="Times New Roman" w:hAnsi="Times New Roman"/>
          <w:sz w:val="17"/>
          <w:szCs w:val="17"/>
          <w:color w:val="auto"/>
        </w:rPr>
        <w:t>goal, if any, will be scored on a scale of 0.00 to 1.50, with a score of 1.00 representing target performance. The Committee may amend or modify any Team Performance goal or the weight assigned to a goal, or substitute a goal in place of an existing goal, to the extent equitable under the circumstances (for example, in the event of an acquisition or divestiture or a significant restructuring charge).</w:t>
      </w:r>
    </w:p>
    <w:p>
      <w:pPr>
        <w:spacing w:after="0" w:line="19" w:lineRule="exact"/>
        <w:rPr>
          <w:sz w:val="20"/>
          <w:szCs w:val="20"/>
          <w:color w:val="auto"/>
        </w:rPr>
      </w:pPr>
    </w:p>
    <w:p>
      <w:pPr>
        <w:ind w:left="1480" w:hanging="566"/>
        <w:spacing w:after="0" w:line="254"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 xml:space="preserve">Individual Performance. </w:t>
      </w:r>
      <w:r>
        <w:rPr>
          <w:rFonts w:ascii="Times New Roman" w:cs="Times New Roman" w:eastAsia="Times New Roman" w:hAnsi="Times New Roman"/>
          <w:sz w:val="18"/>
          <w:szCs w:val="18"/>
          <w:color w:val="auto"/>
        </w:rPr>
        <w:t>If the Committee determines that the bonus payout for any particular year will be subject to adjustment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achievement of one or more individual performance goals, the Chief Executive Officer will recommend to the Committee individual performance goals for Participants reporting directly to him, and within a reasonable period of time after the commencement of each Plan year, the Committee will approve goals for each Participant, with each individual performance goal assigned a weight representing the percentage of the total bonus payout for that year attributable to the achievement of such goal (“Individual Performance”). Each Participant’s performance relative to each Individual Performance goal will be scored on a scale of 0.00 to 1.50, with a score of 1.00 representing target performance. The Committee may amend or modify any Individual Performance goal or the weight assigned to a goal, or substitute a goal in place of an existing goal, to the extent equitable under the circumstances (for example, in the event a Participant’s role or responsibilities change during the year).</w:t>
      </w:r>
    </w:p>
    <w:p>
      <w:pPr>
        <w:spacing w:after="0" w:line="134" w:lineRule="exact"/>
        <w:rPr>
          <w:sz w:val="20"/>
          <w:szCs w:val="20"/>
          <w:color w:val="auto"/>
        </w:rPr>
      </w:pPr>
    </w:p>
    <w:p>
      <w:pPr>
        <w:ind w:right="220" w:firstLine="8"/>
        <w:spacing w:after="0" w:line="259" w:lineRule="auto"/>
        <w:tabs>
          <w:tab w:leader="none" w:pos="1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Participant Scores; Bonus Payouts. </w:t>
      </w:r>
      <w:r>
        <w:rPr>
          <w:rFonts w:ascii="Times New Roman" w:cs="Times New Roman" w:eastAsia="Times New Roman" w:hAnsi="Times New Roman"/>
          <w:sz w:val="18"/>
          <w:szCs w:val="18"/>
          <w:color w:val="auto"/>
        </w:rPr>
        <w:t>Within a reasonable period of time after the Company has reported financial results for the Plan year,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will review and approve, and each Participant will receive, a scored assessment of his or her performance relative to each Team Performance goal, if any, and Individual Performance goal, if any, which will result in a personal score (“Personal Score”) for each Participant. Each Participant’s Personal Score will be applied to the Company Performance level for the year to determine the percentage of the Participant’s Target Bonus, if any, payable to such Participant for the applicable Plan year.</w:t>
      </w:r>
    </w:p>
    <w:p>
      <w:pPr>
        <w:spacing w:after="0" w:line="1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Bonus payouts, if any, under the Plan, will be determined and paid in a single cash lump sum following the end of the applicable Plan year, as soon as practicable after final determination of the Company Performance level and each Participant’s Personal Score, and in any event no later than March 15th following the end of the applicable Plan year, provided the Participant remains employed by the Company on such payout date. Notwithstanding the foregoing, the Committee may provide that, in lieu of cash, all or any portion of the payouts for the applicable Plan year will be made in shares of the Company’s common stock with a fair market value on the date of grant equal to the applicable portion of the payout amounts, subject to applicable withholding.</w:t>
      </w:r>
    </w:p>
    <w:p>
      <w:pPr>
        <w:spacing w:after="0" w:line="1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Nothing in the Plan shall be construed as limiting the right of the Company to grant, or for the Committee to approve, incentive awards in addition to or in lieu of a bonus granted or paid under the Plan.</w:t>
      </w:r>
    </w:p>
    <w:p>
      <w:pPr>
        <w:spacing w:after="0" w:line="104" w:lineRule="exact"/>
        <w:rPr>
          <w:sz w:val="20"/>
          <w:szCs w:val="20"/>
          <w:color w:val="auto"/>
        </w:rPr>
      </w:pPr>
    </w:p>
    <w:p>
      <w:pPr>
        <w:ind w:right="40" w:firstLine="8"/>
        <w:spacing w:after="0" w:line="259" w:lineRule="auto"/>
        <w:tabs>
          <w:tab w:leader="none" w:pos="1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a Participant’s Employment Circumstances. </w:t>
      </w:r>
      <w:r>
        <w:rPr>
          <w:rFonts w:ascii="Times New Roman" w:cs="Times New Roman" w:eastAsia="Times New Roman" w:hAnsi="Times New Roman"/>
          <w:sz w:val="18"/>
          <w:szCs w:val="18"/>
          <w:color w:val="auto"/>
        </w:rPr>
        <w:t>If a Participant is unable to complete any Individual Performance goal because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takes an authorized leave of absence, (ii) the Participant becomes disabled and qualifies for short-term or long-term disability benefits under the Company’s disability plans, (iii) the Participant dies during a Plan year, or (iv) there occurs any other extraordinary event beyond the reasonable control of the Participant, then the Committee may equitably adjust the Participant’s Individual Performance score to credit progress towards the Participant’s Individual Performance goals.</w:t>
      </w:r>
    </w:p>
    <w:p>
      <w:pPr>
        <w:spacing w:after="0" w:line="125"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90" w:lineRule="exact"/>
        <w:rPr>
          <w:sz w:val="20"/>
          <w:szCs w:val="20"/>
          <w:color w:val="auto"/>
        </w:rPr>
      </w:pPr>
    </w:p>
    <w:p>
      <w:pPr>
        <w:ind w:left="16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 No Right to Employment or other Status. </w:t>
      </w:r>
      <w:r>
        <w:rPr>
          <w:rFonts w:ascii="Times New Roman" w:cs="Times New Roman" w:eastAsia="Times New Roman" w:hAnsi="Times New Roman"/>
          <w:sz w:val="18"/>
          <w:szCs w:val="18"/>
          <w:color w:val="auto"/>
        </w:rPr>
        <w:t>This Plan does not give, and will not be construed as giving, any Participant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continued employment or any other relationship with the Company. The Company expressly reserves the right at any time to dismiss or otherwise terminate its relationship with any Participant free from any liability or claim under the Plan, except as expressly provided otherwise in the Plan, and except as may be otherwise provided in any applicable written agreement between a Participant and the Company.</w:t>
      </w:r>
    </w:p>
    <w:p>
      <w:pPr>
        <w:spacing w:after="0" w:line="44" w:lineRule="exact"/>
        <w:rPr>
          <w:sz w:val="20"/>
          <w:szCs w:val="20"/>
          <w:color w:val="auto"/>
        </w:rPr>
      </w:pPr>
    </w:p>
    <w:p>
      <w:pPr>
        <w:ind w:left="1680"/>
        <w:spacing w:after="0" w:line="268" w:lineRule="auto"/>
        <w:rPr>
          <w:sz w:val="20"/>
          <w:szCs w:val="20"/>
          <w:color w:val="auto"/>
        </w:rPr>
      </w:pPr>
      <w:r>
        <w:rPr>
          <w:rFonts w:ascii="Times New Roman" w:cs="Times New Roman" w:eastAsia="Times New Roman" w:hAnsi="Times New Roman"/>
          <w:sz w:val="18"/>
          <w:szCs w:val="18"/>
          <w:b w:val="1"/>
          <w:bCs w:val="1"/>
          <w:color w:val="auto"/>
        </w:rPr>
        <w:t>7.2 Non-U.S. Participants</w:t>
      </w:r>
      <w:r>
        <w:rPr>
          <w:rFonts w:ascii="Times New Roman" w:cs="Times New Roman" w:eastAsia="Times New Roman" w:hAnsi="Times New Roman"/>
          <w:sz w:val="18"/>
          <w:szCs w:val="18"/>
          <w:color w:val="auto"/>
        </w:rPr>
        <w:t>. The Company may modify the procedures set forth herein with respect to bonus payouts for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are non-U.S. nationals or who are employed outside of the United States in order to comply with applicable laws and regulations.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7" w:name="page38"/>
    <w:bookmarkEnd w:id="37"/>
    <w:p>
      <w:pPr>
        <w:ind w:left="560" w:right="260"/>
        <w:spacing w:after="0" w:line="286" w:lineRule="auto"/>
        <w:rPr>
          <w:sz w:val="20"/>
          <w:szCs w:val="20"/>
          <w:color w:val="auto"/>
        </w:rPr>
      </w:pPr>
      <w:r>
        <w:rPr>
          <w:rFonts w:ascii="Times New Roman" w:cs="Times New Roman" w:eastAsia="Times New Roman" w:hAnsi="Times New Roman"/>
          <w:sz w:val="18"/>
          <w:szCs w:val="18"/>
          <w:b w:val="1"/>
          <w:bCs w:val="1"/>
          <w:color w:val="auto"/>
        </w:rPr>
        <w:t>7.3 Governing Law</w:t>
      </w:r>
      <w:r>
        <w:rPr>
          <w:rFonts w:ascii="Times New Roman" w:cs="Times New Roman" w:eastAsia="Times New Roman" w:hAnsi="Times New Roman"/>
          <w:sz w:val="18"/>
          <w:szCs w:val="18"/>
          <w:color w:val="auto"/>
        </w:rPr>
        <w:t>. This Plan will be governed by and construed in accordance with the internal laws of the Commonwealth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Massachusetts without giving effect to any choice or conflict of law provision.</w:t>
      </w:r>
    </w:p>
    <w:p>
      <w:pPr>
        <w:spacing w:after="0" w:line="20" w:lineRule="exact"/>
        <w:rPr>
          <w:sz w:val="20"/>
          <w:szCs w:val="20"/>
          <w:color w:val="auto"/>
        </w:rPr>
      </w:pPr>
    </w:p>
    <w:p>
      <w:pPr>
        <w:ind w:left="560" w:right="140"/>
        <w:spacing w:after="0" w:line="257" w:lineRule="auto"/>
        <w:rPr>
          <w:sz w:val="20"/>
          <w:szCs w:val="20"/>
          <w:color w:val="auto"/>
        </w:rPr>
      </w:pPr>
      <w:r>
        <w:rPr>
          <w:rFonts w:ascii="Times New Roman" w:cs="Times New Roman" w:eastAsia="Times New Roman" w:hAnsi="Times New Roman"/>
          <w:sz w:val="18"/>
          <w:szCs w:val="18"/>
          <w:b w:val="1"/>
          <w:bCs w:val="1"/>
          <w:color w:val="auto"/>
        </w:rPr>
        <w:t>7.4 Section 409A of the Code</w:t>
      </w:r>
      <w:r>
        <w:rPr>
          <w:rFonts w:ascii="Times New Roman" w:cs="Times New Roman" w:eastAsia="Times New Roman" w:hAnsi="Times New Roman"/>
          <w:sz w:val="18"/>
          <w:szCs w:val="18"/>
          <w:color w:val="auto"/>
        </w:rPr>
        <w:t>. Payments under the Plan are intended to constitute “short-term deferrals” for purposes of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409A of the Internal Revenue Code of 1986, as amended, and guidance issued under Section 409A of the Code, and shall be construed accordingly. Notwithstanding the above, neither the Company, nor any subsidiary, nor the Committee, nor any person acting on behalf of the Company, any subsidiary, or the Committee, shall be liable to any participant or to the estate or beneficiary of any participant by reason of any acceleration of income, or any additional tax, asserted by reason of the failure of a payment to satisfy the requirements of Section 409A of the Code.</w:t>
      </w:r>
    </w:p>
    <w:p>
      <w:pPr>
        <w:spacing w:after="0" w:line="47" w:lineRule="exact"/>
        <w:rPr>
          <w:sz w:val="20"/>
          <w:szCs w:val="20"/>
          <w:color w:val="auto"/>
        </w:rPr>
      </w:pPr>
    </w:p>
    <w:p>
      <w:pPr>
        <w:ind w:left="560"/>
        <w:spacing w:after="0" w:line="286" w:lineRule="auto"/>
        <w:rPr>
          <w:sz w:val="20"/>
          <w:szCs w:val="20"/>
          <w:color w:val="auto"/>
        </w:rPr>
      </w:pPr>
      <w:r>
        <w:rPr>
          <w:rFonts w:ascii="Times New Roman" w:cs="Times New Roman" w:eastAsia="Times New Roman" w:hAnsi="Times New Roman"/>
          <w:sz w:val="18"/>
          <w:szCs w:val="18"/>
          <w:b w:val="1"/>
          <w:bCs w:val="1"/>
          <w:color w:val="auto"/>
        </w:rPr>
        <w:t>7.5 Tax Withholding</w:t>
      </w:r>
      <w:r>
        <w:rPr>
          <w:rFonts w:ascii="Times New Roman" w:cs="Times New Roman" w:eastAsia="Times New Roman" w:hAnsi="Times New Roman"/>
          <w:sz w:val="18"/>
          <w:szCs w:val="18"/>
          <w:color w:val="auto"/>
        </w:rPr>
        <w:t>. All payments under the Plan shall be subject to reduction for applicable tax and other legally or contractually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withholdings.</w:t>
      </w:r>
    </w:p>
    <w:p>
      <w:pPr>
        <w:spacing w:after="0" w:line="20" w:lineRule="exact"/>
        <w:rPr>
          <w:sz w:val="20"/>
          <w:szCs w:val="20"/>
          <w:color w:val="auto"/>
        </w:rPr>
      </w:pPr>
    </w:p>
    <w:p>
      <w:pPr>
        <w:ind w:left="560" w:right="20"/>
        <w:spacing w:after="0" w:line="257" w:lineRule="auto"/>
        <w:rPr>
          <w:sz w:val="20"/>
          <w:szCs w:val="20"/>
          <w:color w:val="auto"/>
        </w:rPr>
      </w:pPr>
      <w:r>
        <w:rPr>
          <w:rFonts w:ascii="Times New Roman" w:cs="Times New Roman" w:eastAsia="Times New Roman" w:hAnsi="Times New Roman"/>
          <w:sz w:val="18"/>
          <w:szCs w:val="18"/>
          <w:b w:val="1"/>
          <w:bCs w:val="1"/>
          <w:color w:val="auto"/>
        </w:rPr>
        <w:t>7.6 Plan to be Unfunded, Etc</w:t>
      </w:r>
      <w:r>
        <w:rPr>
          <w:rFonts w:ascii="Times New Roman" w:cs="Times New Roman" w:eastAsia="Times New Roman" w:hAnsi="Times New Roman"/>
          <w:sz w:val="18"/>
          <w:szCs w:val="18"/>
          <w:color w:val="auto"/>
        </w:rPr>
        <w:t>. The Plan is intended to constitute an unfunded incentive compensation arrangement. Nothing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the Plan, and no action taken pursuant to the Plan, shall create or be construed to create a trust of any kind. A participant’s right to receive a bonus shall be no greater than the right of an unsecured general creditor of the Company. All bonuses shall be paid from the general funds of the Company, and no special or separate fund shall be established and no segregation of assets shall be made to assure payment of such bonuses. There shall not vest in any Participant or beneficiary any right, title, or interest in and to any specific assets of the Company.</w:t>
      </w:r>
    </w:p>
    <w:p>
      <w:pPr>
        <w:spacing w:after="0" w:line="47" w:lineRule="exact"/>
        <w:rPr>
          <w:sz w:val="20"/>
          <w:szCs w:val="20"/>
          <w:color w:val="auto"/>
        </w:rPr>
      </w:pPr>
    </w:p>
    <w:p>
      <w:pPr>
        <w:jc w:val="both"/>
        <w:ind w:left="560"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7.7 Amendment and Termination. </w:t>
      </w:r>
      <w:r>
        <w:rPr>
          <w:rFonts w:ascii="Times New Roman" w:cs="Times New Roman" w:eastAsia="Times New Roman" w:hAnsi="Times New Roman"/>
          <w:sz w:val="18"/>
          <w:szCs w:val="18"/>
          <w:color w:val="auto"/>
        </w:rPr>
        <w:t>The Company may terminate the Plan at any time and may amend the Plan at any time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with or without retroactive effect, including without limitation amendments that change the form or timing of bonus payments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609600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413" w:right="3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F. Colony, certify that:</w:t>
      </w:r>
    </w:p>
    <w:p>
      <w:pPr>
        <w:spacing w:after="0" w:line="225" w:lineRule="exact"/>
        <w:rPr>
          <w:sz w:val="20"/>
          <w:szCs w:val="20"/>
          <w:color w:val="auto"/>
        </w:rPr>
      </w:pPr>
    </w:p>
    <w:p>
      <w:pPr>
        <w:ind w:left="700" w:hanging="183"/>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Forrester Research,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320" w:firstLine="517"/>
        <w:spacing w:after="0" w:line="266" w:lineRule="auto"/>
        <w:tabs>
          <w:tab w:leader="none" w:pos="6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ind w:right="820" w:firstLine="517"/>
        <w:spacing w:after="0" w:line="282" w:lineRule="auto"/>
        <w:tabs>
          <w:tab w:leader="none" w:pos="6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20" w:firstLine="517"/>
        <w:spacing w:after="0" w:line="266" w:lineRule="auto"/>
        <w:tabs>
          <w:tab w:leader="none" w:pos="7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20" w:firstLine="517"/>
        <w:spacing w:after="0" w:line="282" w:lineRule="auto"/>
        <w:tabs>
          <w:tab w:leader="none" w:pos="6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sz w:val="20"/>
          <w:szCs w:val="20"/>
          <w:color w:val="auto"/>
        </w:rPr>
      </w:pPr>
    </w:p>
    <w:p>
      <w:pPr>
        <w:ind w:right="240" w:firstLine="517"/>
        <w:spacing w:after="0" w:line="282" w:lineRule="auto"/>
        <w:tabs>
          <w:tab w:leader="none" w:pos="6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F. COLONY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F. Colony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Christian Finn, certify that:</w:t>
      </w:r>
    </w:p>
    <w:p>
      <w:pPr>
        <w:spacing w:after="0" w:line="225" w:lineRule="exact"/>
        <w:rPr>
          <w:sz w:val="20"/>
          <w:szCs w:val="20"/>
          <w:color w:val="auto"/>
        </w:rPr>
      </w:pPr>
    </w:p>
    <w:p>
      <w:pPr>
        <w:ind w:left="700" w:hanging="183"/>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Forrester Research,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320" w:firstLine="517"/>
        <w:spacing w:after="0" w:line="266" w:lineRule="auto"/>
        <w:tabs>
          <w:tab w:leader="none" w:pos="6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ind w:right="820" w:firstLine="517"/>
        <w:spacing w:after="0" w:line="282" w:lineRule="auto"/>
        <w:tabs>
          <w:tab w:leader="none" w:pos="6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20" w:firstLine="517"/>
        <w:spacing w:after="0" w:line="266" w:lineRule="auto"/>
        <w:tabs>
          <w:tab w:leader="none" w:pos="7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20" w:firstLine="517"/>
        <w:spacing w:after="0" w:line="282" w:lineRule="auto"/>
        <w:tabs>
          <w:tab w:leader="none" w:pos="6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sz w:val="20"/>
          <w:szCs w:val="20"/>
          <w:color w:val="auto"/>
        </w:rPr>
      </w:pPr>
    </w:p>
    <w:p>
      <w:pPr>
        <w:ind w:right="240" w:firstLine="517"/>
        <w:spacing w:after="0" w:line="282" w:lineRule="auto"/>
        <w:tabs>
          <w:tab w:leader="none" w:pos="6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 CHRISTIAN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 Christian Finn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Executive Officer of Forrester Research, Inc. (the “Company”), does hereby certify that to the undersigned’s knowledge:</w:t>
      </w:r>
    </w:p>
    <w:p>
      <w:pPr>
        <w:spacing w:after="0" w:line="54" w:lineRule="exact"/>
        <w:rPr>
          <w:sz w:val="20"/>
          <w:szCs w:val="20"/>
          <w:color w:val="auto"/>
        </w:rPr>
      </w:pPr>
    </w:p>
    <w:p>
      <w:pPr>
        <w:ind w:left="1020" w:right="20" w:hanging="479"/>
        <w:spacing w:after="0" w:line="312" w:lineRule="auto"/>
        <w:tabs>
          <w:tab w:leader="none" w:pos="89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Quarterly Report on Form 10-Q for the quarter ended September 30, 2026, as filed with the Securities and Exchange Commission (the “10-Q Report”), fully complies with the requirements of Section 13(a) or 15(d) of the Securities Exchange Act of 1934; and</w:t>
      </w:r>
    </w:p>
    <w:p>
      <w:pPr>
        <w:spacing w:after="0" w:line="31" w:lineRule="exact"/>
        <w:rPr>
          <w:rFonts w:ascii="Times New Roman" w:cs="Times New Roman" w:eastAsia="Times New Roman" w:hAnsi="Times New Roman"/>
          <w:sz w:val="17"/>
          <w:szCs w:val="17"/>
          <w:color w:val="auto"/>
        </w:rPr>
      </w:pPr>
    </w:p>
    <w:p>
      <w:pPr>
        <w:ind w:left="1020" w:right="320" w:hanging="479"/>
        <w:spacing w:after="0" w:line="282"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10-Q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F. Colony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F. Colony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Financial Officer of Forrester Research, Inc. (the “Company”), does hereby certify that to the undersigned’s knowledge:</w:t>
      </w:r>
    </w:p>
    <w:p>
      <w:pPr>
        <w:spacing w:after="0" w:line="54" w:lineRule="exact"/>
        <w:rPr>
          <w:sz w:val="20"/>
          <w:szCs w:val="20"/>
          <w:color w:val="auto"/>
        </w:rPr>
      </w:pPr>
    </w:p>
    <w:p>
      <w:pPr>
        <w:ind w:left="1020" w:right="20" w:hanging="479"/>
        <w:spacing w:after="0" w:line="312" w:lineRule="auto"/>
        <w:tabs>
          <w:tab w:leader="none" w:pos="89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Quarterly Report on Form 10-Q for the quarter ended September 30, 2026, as filed with the Securities and Exchange Commission (the “10-Q Report”), fully complies with the requirements of Section 13(a) or 15(d) of the Securities Exchange Act of 1934; and</w:t>
      </w:r>
    </w:p>
    <w:p>
      <w:pPr>
        <w:spacing w:after="0" w:line="31" w:lineRule="exact"/>
        <w:rPr>
          <w:rFonts w:ascii="Times New Roman" w:cs="Times New Roman" w:eastAsia="Times New Roman" w:hAnsi="Times New Roman"/>
          <w:sz w:val="17"/>
          <w:szCs w:val="17"/>
          <w:color w:val="auto"/>
        </w:rPr>
      </w:pPr>
    </w:p>
    <w:p>
      <w:pPr>
        <w:ind w:left="1020" w:right="320" w:hanging="479"/>
        <w:spacing w:after="0" w:line="282" w:lineRule="auto"/>
        <w:tabs>
          <w:tab w:leader="none" w:pos="8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10-Q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 CHRISTIAN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 Christian Finn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04"/>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5"/>
    </w:lvl>
  </w:abstractNum>
  <w:abstractNum w:abstractNumId="15">
    <w:nsid w:val="628C895D"/>
    <w:multiLevelType w:val="hybridMultilevel"/>
    <w:lvl w:ilvl="0">
      <w:lvlJc w:val="left"/>
      <w:lvlText w:val="%1."/>
      <w:numFmt w:val="decimal"/>
      <w:start w:val="6"/>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54" Type="http://schemas.openxmlformats.org/officeDocument/2006/relationships/hyperlink" Target="https://www.sec.gov/Archives/edgar/data/1023313/0000950135-96-004663.txt" TargetMode="External"/><Relationship Id="rId355" Type="http://schemas.openxmlformats.org/officeDocument/2006/relationships/hyperlink" Target="https://www.sec.gov/Archives/edgar/data/1023313/000095013500001340/0000950135-00-001340.txt" TargetMode="External"/><Relationship Id="rId356" Type="http://schemas.openxmlformats.org/officeDocument/2006/relationships/hyperlink" Target="https://www.sec.gov/Archives/edgar/data/1023313/000119312517183027/d402162dex31.htm" TargetMode="External"/><Relationship Id="rId357" Type="http://schemas.openxmlformats.org/officeDocument/2006/relationships/hyperlink" Target="https://www.sec.gov/Archives/edgar/data/1023313/000095017023007151/forr-ex3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2026-11-06T07:48:36Z</dcterms:created>
  <dcterms:modified xsi:type="dcterms:W3CDTF">2026-11-06T07:48:36Z</dcterms:modified>
</cp:coreProperties>
</file>